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1032" w14:textId="6B509ECA" w:rsidR="00782AF7" w:rsidRPr="00042FBE" w:rsidRDefault="00D71FA8" w:rsidP="00D71FA8">
      <w:pPr>
        <w:tabs>
          <w:tab w:val="left" w:pos="5670"/>
        </w:tabs>
        <w:ind w:right="212"/>
        <w:jc w:val="right"/>
        <w:rPr>
          <w:rFonts w:ascii="Century Gothic" w:eastAsia="Times New Roman" w:hAnsi="Century Gothic" w:cs="Times New Roman"/>
          <w:b/>
          <w:sz w:val="18"/>
          <w:szCs w:val="20"/>
          <w:lang w:eastAsia="en-US"/>
        </w:rPr>
      </w:pPr>
      <w:r w:rsidRPr="00DC5C33">
        <w:rPr>
          <w:rFonts w:ascii="Century Gothic" w:hAnsi="Century Gothic"/>
          <w:noProof/>
          <w:lang w:val="en-GB" w:eastAsia="en-GB"/>
        </w:rPr>
        <w:drawing>
          <wp:anchor distT="0" distB="0" distL="114300" distR="114300" simplePos="0" relativeHeight="251658240" behindDoc="0" locked="0" layoutInCell="1" allowOverlap="1" wp14:anchorId="5284FB2D" wp14:editId="772347D5">
            <wp:simplePos x="0" y="0"/>
            <wp:positionH relativeFrom="column">
              <wp:posOffset>-100290</wp:posOffset>
            </wp:positionH>
            <wp:positionV relativeFrom="paragraph">
              <wp:posOffset>-87490</wp:posOffset>
            </wp:positionV>
            <wp:extent cx="1737360" cy="624840"/>
            <wp:effectExtent l="0" t="0" r="0" b="3810"/>
            <wp:wrapNone/>
            <wp:docPr id="1" name="Image 1" descr="brugge_nato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rugge_natol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736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AF7">
        <w:rPr>
          <w:rFonts w:ascii="Century Gothic" w:eastAsia="Times New Roman" w:hAnsi="Century Gothic" w:cs="Times New Roman"/>
          <w:b/>
          <w:sz w:val="18"/>
          <w:szCs w:val="20"/>
          <w:lang w:val="fr-BE" w:eastAsia="en-US"/>
        </w:rPr>
        <w:t xml:space="preserve">Année académique </w:t>
      </w:r>
      <w:r w:rsidR="00042FBE">
        <w:rPr>
          <w:rFonts w:ascii="Century Gothic" w:eastAsia="Times New Roman" w:hAnsi="Century Gothic" w:cs="Times New Roman"/>
          <w:b/>
          <w:sz w:val="18"/>
          <w:szCs w:val="20"/>
          <w:lang w:eastAsia="en-US"/>
        </w:rPr>
        <w:t>202</w:t>
      </w:r>
      <w:r w:rsidR="00665121">
        <w:rPr>
          <w:rFonts w:ascii="Century Gothic" w:eastAsia="Times New Roman" w:hAnsi="Century Gothic" w:cs="Times New Roman"/>
          <w:b/>
          <w:sz w:val="18"/>
          <w:szCs w:val="20"/>
          <w:lang w:eastAsia="en-US"/>
        </w:rPr>
        <w:t>6</w:t>
      </w:r>
      <w:r w:rsidR="00042FBE">
        <w:rPr>
          <w:rFonts w:ascii="Century Gothic" w:eastAsia="Times New Roman" w:hAnsi="Century Gothic" w:cs="Times New Roman"/>
          <w:b/>
          <w:sz w:val="18"/>
          <w:szCs w:val="20"/>
          <w:lang w:eastAsia="en-US"/>
        </w:rPr>
        <w:t>-202</w:t>
      </w:r>
      <w:r w:rsidR="004455F7">
        <w:rPr>
          <w:rFonts w:ascii="Century Gothic" w:eastAsia="Times New Roman" w:hAnsi="Century Gothic" w:cs="Times New Roman"/>
          <w:b/>
          <w:sz w:val="18"/>
          <w:szCs w:val="20"/>
          <w:lang w:eastAsia="en-US"/>
        </w:rPr>
        <w:t>7</w:t>
      </w:r>
    </w:p>
    <w:p w14:paraId="306C126C" w14:textId="5AC642BA" w:rsidR="00BD122C" w:rsidRDefault="000102E2" w:rsidP="000102E2">
      <w:pPr>
        <w:tabs>
          <w:tab w:val="left" w:pos="5670"/>
        </w:tabs>
        <w:ind w:right="212"/>
        <w:jc w:val="center"/>
        <w:rPr>
          <w:rFonts w:ascii="Century Gothic" w:eastAsia="Times New Roman" w:hAnsi="Century Gothic" w:cs="Times New Roman"/>
          <w:b/>
          <w:sz w:val="18"/>
        </w:rPr>
      </w:pPr>
      <w:r>
        <w:rPr>
          <w:rFonts w:ascii="Century Gothic" w:eastAsia="Times New Roman" w:hAnsi="Century Gothic" w:cs="Times New Roman"/>
          <w:b/>
          <w:sz w:val="18"/>
        </w:rPr>
        <w:t xml:space="preserve">                                                                          IDEAs</w:t>
      </w:r>
    </w:p>
    <w:p w14:paraId="7EF8DEE2" w14:textId="169C2610" w:rsidR="00BD122C" w:rsidRDefault="00FD7DEC" w:rsidP="00BD122C">
      <w:pPr>
        <w:tabs>
          <w:tab w:val="left" w:pos="5670"/>
        </w:tabs>
        <w:ind w:right="212"/>
        <w:jc w:val="right"/>
        <w:rPr>
          <w:rFonts w:ascii="Century Gothic" w:eastAsia="Times New Roman" w:hAnsi="Century Gothic" w:cs="Times New Roman"/>
          <w:b/>
          <w:sz w:val="18"/>
        </w:rPr>
      </w:pPr>
      <w:r>
        <w:rPr>
          <w:rFonts w:ascii="Century Gothic" w:eastAsia="Times New Roman" w:hAnsi="Century Gothic" w:cs="Times New Roman"/>
          <w:b/>
          <w:sz w:val="18"/>
        </w:rPr>
        <w:t xml:space="preserve">   </w:t>
      </w:r>
      <w:r w:rsidR="000A140F">
        <w:rPr>
          <w:rFonts w:ascii="Century Gothic" w:eastAsia="Times New Roman" w:hAnsi="Century Gothic" w:cs="Times New Roman"/>
          <w:b/>
          <w:sz w:val="18"/>
        </w:rPr>
        <w:t>Professeure :</w:t>
      </w:r>
      <w:r w:rsidR="00D71FA8" w:rsidRPr="00DC5C33">
        <w:rPr>
          <w:rFonts w:ascii="Century Gothic" w:eastAsia="Times New Roman" w:hAnsi="Century Gothic" w:cs="Times New Roman"/>
          <w:b/>
          <w:sz w:val="18"/>
        </w:rPr>
        <w:t xml:space="preserve"> </w:t>
      </w:r>
      <w:r w:rsidR="00186E42">
        <w:rPr>
          <w:rFonts w:ascii="Century Gothic" w:eastAsia="Cambria" w:hAnsi="Century Gothic" w:cs="Calibri"/>
          <w:b/>
          <w:sz w:val="18"/>
          <w:szCs w:val="18"/>
          <w:lang w:val="fr-BE" w:eastAsia="en-US"/>
        </w:rPr>
        <w:t>Florence BENOÎ</w:t>
      </w:r>
      <w:r w:rsidR="00D71FA8" w:rsidRPr="00DC5C33">
        <w:rPr>
          <w:rFonts w:ascii="Century Gothic" w:eastAsia="Cambria" w:hAnsi="Century Gothic" w:cs="Calibri"/>
          <w:b/>
          <w:sz w:val="18"/>
          <w:szCs w:val="18"/>
          <w:lang w:val="fr-BE" w:eastAsia="en-US"/>
        </w:rPr>
        <w:t>T-ROHMER</w:t>
      </w:r>
    </w:p>
    <w:p w14:paraId="66DBD9E2" w14:textId="76B6DF13" w:rsidR="00D71FA8" w:rsidRPr="00042FBE" w:rsidRDefault="003E2EA3" w:rsidP="00584F5E">
      <w:pPr>
        <w:tabs>
          <w:tab w:val="left" w:pos="5954"/>
        </w:tabs>
        <w:ind w:right="212"/>
        <w:jc w:val="center"/>
        <w:rPr>
          <w:rFonts w:ascii="Century Gothic" w:eastAsia="Times New Roman" w:hAnsi="Century Gothic" w:cs="Times New Roman"/>
          <w:b/>
          <w:sz w:val="18"/>
        </w:rPr>
      </w:pPr>
      <w:r>
        <w:rPr>
          <w:rFonts w:ascii="Century Gothic" w:eastAsia="Times New Roman" w:hAnsi="Century Gothic" w:cs="Times New Roman"/>
          <w:b/>
          <w:sz w:val="18"/>
        </w:rPr>
        <w:t xml:space="preserve">                                       </w:t>
      </w:r>
      <w:r w:rsidR="001C62E4">
        <w:rPr>
          <w:rFonts w:ascii="Century Gothic" w:eastAsia="Times New Roman" w:hAnsi="Century Gothic" w:cs="Times New Roman"/>
          <w:b/>
          <w:sz w:val="18"/>
        </w:rPr>
        <w:t xml:space="preserve">                   </w:t>
      </w:r>
      <w:r w:rsidR="004455F7">
        <w:rPr>
          <w:rFonts w:ascii="Century Gothic" w:eastAsia="Times New Roman" w:hAnsi="Century Gothic" w:cs="Times New Roman"/>
          <w:b/>
          <w:sz w:val="18"/>
        </w:rPr>
        <w:t xml:space="preserve">                        </w:t>
      </w:r>
      <w:r w:rsidR="001504E0">
        <w:rPr>
          <w:rFonts w:ascii="Century Gothic" w:eastAsia="Times New Roman" w:hAnsi="Century Gothic" w:cs="Times New Roman"/>
          <w:b/>
          <w:sz w:val="18"/>
        </w:rPr>
        <w:t xml:space="preserve"> </w:t>
      </w:r>
      <w:proofErr w:type="gramStart"/>
      <w:r w:rsidR="00D71FA8" w:rsidRPr="00DC5C33">
        <w:rPr>
          <w:rFonts w:ascii="Century Gothic" w:eastAsia="Times New Roman" w:hAnsi="Century Gothic" w:cs="Times New Roman"/>
          <w:b/>
          <w:sz w:val="18"/>
        </w:rPr>
        <w:t>Assistant</w:t>
      </w:r>
      <w:r w:rsidR="004455F7">
        <w:rPr>
          <w:rFonts w:ascii="Century Gothic" w:eastAsia="Times New Roman" w:hAnsi="Century Gothic" w:cs="Times New Roman"/>
          <w:b/>
          <w:sz w:val="18"/>
        </w:rPr>
        <w:t>e</w:t>
      </w:r>
      <w:r w:rsidR="000A140F">
        <w:rPr>
          <w:rFonts w:ascii="Century Gothic" w:eastAsia="Times New Roman" w:hAnsi="Century Gothic" w:cs="Times New Roman"/>
          <w:b/>
          <w:sz w:val="18"/>
        </w:rPr>
        <w:t>:</w:t>
      </w:r>
      <w:proofErr w:type="gramEnd"/>
      <w:r w:rsidR="00D71FA8" w:rsidRPr="00DC5C33">
        <w:rPr>
          <w:rFonts w:ascii="Century Gothic" w:eastAsia="Times New Roman" w:hAnsi="Century Gothic" w:cs="Times New Roman"/>
          <w:b/>
          <w:sz w:val="18"/>
        </w:rPr>
        <w:t xml:space="preserve"> </w:t>
      </w:r>
      <w:r w:rsidR="001C62E4">
        <w:rPr>
          <w:rFonts w:ascii="Century Gothic" w:eastAsia="Times New Roman" w:hAnsi="Century Gothic" w:cs="Times New Roman"/>
          <w:b/>
          <w:sz w:val="18"/>
        </w:rPr>
        <w:t>Marta Hazar</w:t>
      </w:r>
      <w:r w:rsidR="004455F7">
        <w:rPr>
          <w:rFonts w:ascii="Century Gothic" w:eastAsia="Times New Roman" w:hAnsi="Century Gothic" w:cs="Times New Roman"/>
          <w:b/>
          <w:sz w:val="18"/>
        </w:rPr>
        <w:t>d</w:t>
      </w:r>
    </w:p>
    <w:p w14:paraId="60F9FBB4" w14:textId="2F7F0E9F" w:rsidR="00613A82" w:rsidRDefault="00613A82" w:rsidP="0039237D">
      <w:pPr>
        <w:jc w:val="both"/>
        <w:rPr>
          <w:rFonts w:asciiTheme="majorHAnsi" w:hAnsiTheme="majorHAnsi"/>
        </w:rPr>
      </w:pPr>
    </w:p>
    <w:p w14:paraId="0878DCB4" w14:textId="28585D24" w:rsidR="0039237D" w:rsidRPr="0039237D" w:rsidRDefault="005136AC" w:rsidP="0039237D">
      <w:pPr>
        <w:jc w:val="both"/>
        <w:rPr>
          <w:rFonts w:asciiTheme="majorHAnsi" w:hAnsiTheme="majorHAnsi"/>
        </w:rPr>
      </w:pPr>
      <w:r w:rsidRPr="00E05338">
        <w:rPr>
          <w:rFonts w:ascii="Century Gothic" w:hAnsi="Century Gothic"/>
          <w:noProof/>
          <w:lang w:val="en-GB" w:eastAsia="en-GB"/>
        </w:rPr>
        <mc:AlternateContent>
          <mc:Choice Requires="wps">
            <w:drawing>
              <wp:anchor distT="0" distB="0" distL="114300" distR="114300" simplePos="0" relativeHeight="251658241" behindDoc="0" locked="0" layoutInCell="1" allowOverlap="1" wp14:anchorId="26DBA9B2" wp14:editId="6BA9B835">
                <wp:simplePos x="0" y="0"/>
                <wp:positionH relativeFrom="column">
                  <wp:posOffset>-9525</wp:posOffset>
                </wp:positionH>
                <wp:positionV relativeFrom="paragraph">
                  <wp:posOffset>189548</wp:posOffset>
                </wp:positionV>
                <wp:extent cx="5772150" cy="561975"/>
                <wp:effectExtent l="19050" t="19050" r="1905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561975"/>
                        </a:xfrm>
                        <a:prstGeom prst="rect">
                          <a:avLst/>
                        </a:prstGeom>
                        <a:solidFill>
                          <a:srgbClr val="FFFFFF"/>
                        </a:solidFill>
                        <a:ln w="38100">
                          <a:solidFill>
                            <a:srgbClr val="5F5F5F"/>
                          </a:solidFill>
                          <a:miter lim="800000"/>
                          <a:headEnd/>
                          <a:tailEnd/>
                        </a:ln>
                      </wps:spPr>
                      <wps:txbx>
                        <w:txbxContent>
                          <w:p w14:paraId="5D43BB1D" w14:textId="60D54971" w:rsidR="005136AC" w:rsidRDefault="00CE55EB" w:rsidP="00CD4CCB">
                            <w:pPr>
                              <w:jc w:val="center"/>
                              <w:rPr>
                                <w:rFonts w:ascii="Century Gothic" w:hAnsi="Century Gothic"/>
                                <w:b/>
                                <w:sz w:val="28"/>
                                <w:szCs w:val="28"/>
                              </w:rPr>
                            </w:pPr>
                            <w:r>
                              <w:rPr>
                                <w:rFonts w:ascii="Century Gothic" w:hAnsi="Century Gothic"/>
                                <w:b/>
                                <w:sz w:val="28"/>
                                <w:szCs w:val="28"/>
                              </w:rPr>
                              <w:t xml:space="preserve">DROITS </w:t>
                            </w:r>
                            <w:r w:rsidR="005E7EC0">
                              <w:rPr>
                                <w:rFonts w:ascii="Century Gothic" w:hAnsi="Century Gothic"/>
                                <w:b/>
                                <w:sz w:val="28"/>
                                <w:szCs w:val="28"/>
                              </w:rPr>
                              <w:t>DE L’HOMME</w:t>
                            </w:r>
                            <w:r w:rsidR="00F33D30">
                              <w:rPr>
                                <w:rFonts w:ascii="Century Gothic" w:hAnsi="Century Gothic"/>
                                <w:b/>
                                <w:sz w:val="28"/>
                                <w:szCs w:val="28"/>
                              </w:rPr>
                              <w:t xml:space="preserve"> ET INTEGRATION EUROPEENNE</w:t>
                            </w:r>
                          </w:p>
                          <w:p w14:paraId="42EE38E7" w14:textId="77777777" w:rsidR="005136AC" w:rsidRPr="00E05338" w:rsidRDefault="005136AC" w:rsidP="005136AC">
                            <w:pPr>
                              <w:pStyle w:val="Heading2"/>
                              <w:jc w:val="center"/>
                              <w:rPr>
                                <w:rFonts w:ascii="Century Gothic" w:hAnsi="Century Gothic"/>
                                <w:b/>
                                <w:color w:val="B2B2B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BA9B2" id="_x0000_t202" coordsize="21600,21600" o:spt="202" path="m,l,21600r21600,l21600,xe">
                <v:stroke joinstyle="miter"/>
                <v:path gradientshapeok="t" o:connecttype="rect"/>
              </v:shapetype>
              <v:shape id="Text Box 3" o:spid="_x0000_s1026" type="#_x0000_t202" style="position:absolute;left:0;text-align:left;margin-left:-.75pt;margin-top:14.95pt;width:454.5pt;height:4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" strokecolor="#5f5f5f" strokeweight="3pt">
                <v:textbox>
                  <w:txbxContent>
                    <w:p w14:paraId="5D43BB1D" w14:textId="60D54971" w:rsidR="005136AC" w:rsidRDefault="00CE55EB" w:rsidP="00CD4CCB">
                      <w:pPr>
                        <w:jc w:val="center"/>
                        <w:rPr>
                          <w:rFonts w:ascii="Century Gothic" w:hAnsi="Century Gothic"/>
                          <w:b/>
                          <w:sz w:val="28"/>
                          <w:szCs w:val="28"/>
                        </w:rPr>
                      </w:pPr>
                      <w:r>
                        <w:rPr>
                          <w:rFonts w:ascii="Century Gothic" w:hAnsi="Century Gothic"/>
                          <w:b/>
                          <w:sz w:val="28"/>
                          <w:szCs w:val="28"/>
                        </w:rPr>
                        <w:t xml:space="preserve">DROITS </w:t>
                      </w:r>
                      <w:r w:rsidR="005E7EC0">
                        <w:rPr>
                          <w:rFonts w:ascii="Century Gothic" w:hAnsi="Century Gothic"/>
                          <w:b/>
                          <w:sz w:val="28"/>
                          <w:szCs w:val="28"/>
                        </w:rPr>
                        <w:t>DE L’HOMME</w:t>
                      </w:r>
                      <w:r w:rsidR="00F33D30">
                        <w:rPr>
                          <w:rFonts w:ascii="Century Gothic" w:hAnsi="Century Gothic"/>
                          <w:b/>
                          <w:sz w:val="28"/>
                          <w:szCs w:val="28"/>
                        </w:rPr>
                        <w:t xml:space="preserve"> ET INTEGRATION EUROPEENNE</w:t>
                      </w:r>
                    </w:p>
                    <w:p w14:paraId="42EE38E7" w14:textId="77777777" w:rsidR="005136AC" w:rsidRPr="00E05338" w:rsidRDefault="005136AC" w:rsidP="005136AC">
                      <w:pPr>
                        <w:pStyle w:val="Heading2"/>
                        <w:jc w:val="center"/>
                        <w:rPr>
                          <w:rFonts w:ascii="Century Gothic" w:hAnsi="Century Gothic"/>
                          <w:b/>
                          <w:color w:val="B2B2B2"/>
                        </w:rPr>
                      </w:pPr>
                    </w:p>
                  </w:txbxContent>
                </v:textbox>
              </v:shape>
            </w:pict>
          </mc:Fallback>
        </mc:AlternateContent>
      </w:r>
    </w:p>
    <w:p w14:paraId="132A703A" w14:textId="3E1132EE" w:rsidR="0039237D" w:rsidRDefault="0039237D" w:rsidP="0039237D">
      <w:pPr>
        <w:jc w:val="center"/>
        <w:rPr>
          <w:rFonts w:asciiTheme="majorHAnsi" w:hAnsiTheme="majorHAnsi"/>
          <w:b/>
          <w:u w:val="single"/>
        </w:rPr>
      </w:pPr>
    </w:p>
    <w:p w14:paraId="5E200C9A" w14:textId="22A69DF5" w:rsidR="0039237D" w:rsidRDefault="0039237D" w:rsidP="0039237D">
      <w:pPr>
        <w:jc w:val="center"/>
        <w:rPr>
          <w:rFonts w:asciiTheme="majorHAnsi" w:hAnsiTheme="majorHAnsi"/>
          <w:b/>
          <w:u w:val="single"/>
        </w:rPr>
      </w:pPr>
    </w:p>
    <w:p w14:paraId="0E905E3E" w14:textId="77777777" w:rsidR="0039237D" w:rsidRPr="0039237D" w:rsidRDefault="0039237D" w:rsidP="0039237D">
      <w:pPr>
        <w:jc w:val="center"/>
        <w:rPr>
          <w:rFonts w:asciiTheme="majorHAnsi" w:hAnsiTheme="majorHAnsi"/>
          <w:b/>
          <w:u w:val="single"/>
        </w:rPr>
      </w:pPr>
    </w:p>
    <w:p w14:paraId="5AA6DE28" w14:textId="3860B78A" w:rsidR="0039237D" w:rsidRDefault="0039237D" w:rsidP="00076494">
      <w:pPr>
        <w:jc w:val="both"/>
        <w:rPr>
          <w:rFonts w:asciiTheme="majorHAnsi" w:hAnsiTheme="majorHAnsi"/>
        </w:rPr>
      </w:pPr>
    </w:p>
    <w:p w14:paraId="716DF170" w14:textId="77777777" w:rsidR="00996AF5" w:rsidRPr="008041A9" w:rsidRDefault="00996AF5" w:rsidP="00076494">
      <w:pPr>
        <w:jc w:val="both"/>
        <w:rPr>
          <w:rFonts w:asciiTheme="majorHAnsi" w:hAnsiTheme="majorHAnsi"/>
        </w:rPr>
      </w:pPr>
    </w:p>
    <w:p w14:paraId="268E470B" w14:textId="77777777" w:rsidR="001C62E4" w:rsidRDefault="001C62E4" w:rsidP="001C62E4">
      <w:pPr>
        <w:jc w:val="both"/>
        <w:rPr>
          <w:rFonts w:ascii="Century Gothic" w:hAnsi="Century Gothic"/>
        </w:rPr>
      </w:pPr>
      <w:r w:rsidRPr="001C62E4">
        <w:rPr>
          <w:rFonts w:ascii="Century Gothic" w:hAnsi="Century Gothic"/>
        </w:rPr>
        <w:t>Après 1945, les droits de l’homme ont été affirmés comme universels par la Déclaration universelle de 1948. En Europe, cet idéal a trouvé une traduction régionale particulièrement développée avec la création du Conseil de l’Europe en 1949 et l’adoption de la Convention européenne des droits de l’homme en 1950. La construction communautaire, initialement centrée sur l’intégration économique, a progressivement intégré la protection des droits fondamentaux, jusqu’à l’adoption de la Charte des droits fondamentaux de l’Union européenne en 2000 et à la reconnaissance de sa valeur juridiquement contraignante par le traité de Lisbonne.</w:t>
      </w:r>
    </w:p>
    <w:p w14:paraId="0690E346" w14:textId="77777777" w:rsidR="004455F7" w:rsidRPr="001C62E4" w:rsidRDefault="004455F7" w:rsidP="001C62E4">
      <w:pPr>
        <w:jc w:val="both"/>
        <w:rPr>
          <w:rFonts w:ascii="Century Gothic" w:hAnsi="Century Gothic"/>
        </w:rPr>
      </w:pPr>
    </w:p>
    <w:p w14:paraId="3B484B6F" w14:textId="77777777" w:rsidR="001C62E4" w:rsidRDefault="001C62E4" w:rsidP="001C62E4">
      <w:pPr>
        <w:jc w:val="both"/>
        <w:rPr>
          <w:rFonts w:ascii="Century Gothic" w:hAnsi="Century Gothic"/>
        </w:rPr>
      </w:pPr>
      <w:r w:rsidRPr="001C62E4">
        <w:rPr>
          <w:rFonts w:ascii="Century Gothic" w:hAnsi="Century Gothic"/>
        </w:rPr>
        <w:t>Les droits de l’homme, la démocratie et l’État de droit sont ainsi devenus les valeurs communes sur lesquelles reposent, selon des modalités différentes, le Conseil de l’Europe et l’Union européenne. Ils contribuent à définir l’identité du projet européen, tout en constituant des conditions de l’appartenance à ces deux organisations.</w:t>
      </w:r>
    </w:p>
    <w:p w14:paraId="29137912" w14:textId="77777777" w:rsidR="001C62E4" w:rsidRPr="001C62E4" w:rsidRDefault="001C62E4" w:rsidP="001C62E4">
      <w:pPr>
        <w:jc w:val="both"/>
        <w:rPr>
          <w:rFonts w:ascii="Century Gothic" w:hAnsi="Century Gothic"/>
        </w:rPr>
      </w:pPr>
    </w:p>
    <w:p w14:paraId="5F82C461" w14:textId="16C42303" w:rsidR="001C62E4" w:rsidRDefault="001C62E4" w:rsidP="001C62E4">
      <w:pPr>
        <w:jc w:val="both"/>
        <w:rPr>
          <w:rFonts w:ascii="Century Gothic" w:hAnsi="Century Gothic"/>
        </w:rPr>
      </w:pPr>
      <w:r w:rsidRPr="001C62E4">
        <w:rPr>
          <w:rFonts w:ascii="Century Gothic" w:hAnsi="Century Gothic"/>
        </w:rPr>
        <w:t>Cette unité demeure toutefois fragile. Les atteintes à l’État de droit dans certains États européens,</w:t>
      </w:r>
      <w:r>
        <w:rPr>
          <w:rFonts w:ascii="Century Gothic" w:hAnsi="Century Gothic"/>
        </w:rPr>
        <w:t xml:space="preserve"> la contestation et </w:t>
      </w:r>
      <w:r w:rsidRPr="001C62E4">
        <w:rPr>
          <w:rFonts w:ascii="Century Gothic" w:hAnsi="Century Gothic"/>
        </w:rPr>
        <w:t xml:space="preserve">les difficultés d’exécution des arrêts de la Cour européenne des droits de l’homme </w:t>
      </w:r>
      <w:r>
        <w:rPr>
          <w:rFonts w:ascii="Century Gothic" w:hAnsi="Century Gothic"/>
        </w:rPr>
        <w:t>ainsi que</w:t>
      </w:r>
      <w:r w:rsidRPr="001C62E4">
        <w:rPr>
          <w:rFonts w:ascii="Century Gothic" w:hAnsi="Century Gothic"/>
        </w:rPr>
        <w:t xml:space="preserve"> la progression des contestations illibérales révèlent un décalage entre les valeurs proclamées et leur respect effectif. Elles conduisent également à s’interroger sur la capacité des institutions et des juridictions européennes à garantir ces valeurs sans méconnaître le pluralisme politique et constitutionnel des États.</w:t>
      </w:r>
    </w:p>
    <w:p w14:paraId="7518887E" w14:textId="77777777" w:rsidR="00A34092" w:rsidRPr="001C62E4" w:rsidRDefault="00A34092" w:rsidP="001C62E4">
      <w:pPr>
        <w:jc w:val="both"/>
        <w:rPr>
          <w:rFonts w:ascii="Century Gothic" w:hAnsi="Century Gothic"/>
        </w:rPr>
      </w:pPr>
    </w:p>
    <w:p w14:paraId="36B49C06" w14:textId="77777777" w:rsidR="001C62E4" w:rsidRDefault="001C62E4" w:rsidP="001C62E4">
      <w:pPr>
        <w:jc w:val="both"/>
        <w:rPr>
          <w:rFonts w:ascii="Century Gothic" w:hAnsi="Century Gothic"/>
        </w:rPr>
      </w:pPr>
      <w:r w:rsidRPr="001C62E4">
        <w:rPr>
          <w:rFonts w:ascii="Century Gothic" w:hAnsi="Century Gothic"/>
        </w:rPr>
        <w:t>Le cours étudiera ces tensions entre l’universalité des droits de l’homme, leur protection régionale et la diversité des ordres juridiques européens. Il examinera les mécanismes développés par le Conseil de l’Europe et l’Union européenne, ainsi que les convergences, les différences et les interactions entre les jurisprudences de leurs deux Cours.</w:t>
      </w:r>
    </w:p>
    <w:p w14:paraId="2AABDE9A" w14:textId="77777777" w:rsidR="001C62E4" w:rsidRPr="001C62E4" w:rsidRDefault="001C62E4" w:rsidP="001C62E4">
      <w:pPr>
        <w:jc w:val="both"/>
        <w:rPr>
          <w:rFonts w:ascii="Century Gothic" w:hAnsi="Century Gothic"/>
        </w:rPr>
      </w:pPr>
    </w:p>
    <w:p w14:paraId="6B8B94F5" w14:textId="77777777" w:rsidR="008041A9" w:rsidRPr="008041A9" w:rsidRDefault="008041A9" w:rsidP="008041A9">
      <w:pPr>
        <w:jc w:val="both"/>
        <w:rPr>
          <w:rFonts w:ascii="Century Gothic" w:hAnsi="Century Gothic"/>
        </w:rPr>
      </w:pPr>
    </w:p>
    <w:p w14:paraId="40E51150" w14:textId="77777777" w:rsidR="008041A9" w:rsidRPr="008041A9" w:rsidRDefault="008041A9" w:rsidP="008041A9">
      <w:pPr>
        <w:jc w:val="both"/>
        <w:rPr>
          <w:rFonts w:ascii="Century Gothic" w:hAnsi="Century Gothic"/>
        </w:rPr>
      </w:pPr>
    </w:p>
    <w:p w14:paraId="69C9BA90" w14:textId="77777777" w:rsidR="00F33D30" w:rsidRPr="00F33D30" w:rsidRDefault="00F33D30" w:rsidP="00F33D30">
      <w:pPr>
        <w:jc w:val="both"/>
        <w:rPr>
          <w:rFonts w:ascii="Century Gothic" w:hAnsi="Century Gothic"/>
        </w:rPr>
      </w:pPr>
    </w:p>
    <w:p w14:paraId="2DE51F01" w14:textId="6AFD88A5" w:rsidR="00A34092" w:rsidRPr="004C1499" w:rsidRDefault="00A34092" w:rsidP="00A34092">
      <w:pPr>
        <w:jc w:val="both"/>
        <w:rPr>
          <w:rFonts w:ascii="Century Gothic" w:hAnsi="Century Gothic"/>
        </w:rPr>
      </w:pPr>
      <w:r w:rsidRPr="004C1499">
        <w:rPr>
          <w:rFonts w:ascii="Century Gothic" w:hAnsi="Century Gothic"/>
          <w:b/>
          <w:bCs/>
        </w:rPr>
        <w:t>Introduction – Universalité, régionalisation et institutionnalisation des droits de l’homme</w:t>
      </w:r>
    </w:p>
    <w:p w14:paraId="49E323BB" w14:textId="2439D124" w:rsidR="00A34092" w:rsidRPr="00A34092" w:rsidRDefault="00A34092" w:rsidP="00A34092">
      <w:pPr>
        <w:jc w:val="both"/>
        <w:rPr>
          <w:rFonts w:ascii="Century Gothic" w:hAnsi="Century Gothic"/>
        </w:rPr>
      </w:pPr>
      <w:r w:rsidRPr="00A34092">
        <w:rPr>
          <w:rFonts w:ascii="Century Gothic" w:hAnsi="Century Gothic"/>
        </w:rPr>
        <w:t>-Les fondements philosophiques de l’universalité des droits de l’homme</w:t>
      </w:r>
    </w:p>
    <w:p w14:paraId="7B10B0FF" w14:textId="77777777" w:rsidR="004455F7" w:rsidRDefault="00A34092" w:rsidP="00A34092">
      <w:pPr>
        <w:jc w:val="both"/>
        <w:rPr>
          <w:rFonts w:ascii="Century Gothic" w:hAnsi="Century Gothic"/>
        </w:rPr>
      </w:pPr>
      <w:r w:rsidRPr="00A34092">
        <w:rPr>
          <w:rFonts w:ascii="Century Gothic" w:hAnsi="Century Gothic"/>
        </w:rPr>
        <w:t>-Les droits de l’homme comme construction historique et sociale</w:t>
      </w:r>
    </w:p>
    <w:p w14:paraId="26463096" w14:textId="60997B01" w:rsidR="00A34092" w:rsidRPr="00A34092" w:rsidRDefault="00A34092" w:rsidP="00A34092">
      <w:pPr>
        <w:jc w:val="both"/>
        <w:rPr>
          <w:rFonts w:ascii="Century Gothic" w:hAnsi="Century Gothic"/>
        </w:rPr>
      </w:pPr>
      <w:r w:rsidRPr="00A34092">
        <w:rPr>
          <w:rFonts w:ascii="Century Gothic" w:hAnsi="Century Gothic"/>
        </w:rPr>
        <w:lastRenderedPageBreak/>
        <w:t>-La régionalisation européenne des droits de l’homme</w:t>
      </w:r>
    </w:p>
    <w:p w14:paraId="099AD705" w14:textId="77777777" w:rsidR="00A34092" w:rsidRPr="00A34092" w:rsidRDefault="00A34092" w:rsidP="00076494">
      <w:pPr>
        <w:jc w:val="both"/>
        <w:rPr>
          <w:rFonts w:ascii="Century Gothic" w:hAnsi="Century Gothic"/>
        </w:rPr>
      </w:pPr>
    </w:p>
    <w:p w14:paraId="73E6CC89" w14:textId="77777777" w:rsidR="00DC5C33" w:rsidRPr="00A34092" w:rsidRDefault="00DC5C33" w:rsidP="00076494">
      <w:pPr>
        <w:jc w:val="both"/>
        <w:rPr>
          <w:rFonts w:ascii="Century Gothic" w:hAnsi="Century Gothic"/>
        </w:rPr>
      </w:pPr>
    </w:p>
    <w:p w14:paraId="13293E2D" w14:textId="722F9EDE" w:rsidR="00A34092" w:rsidRPr="00A34092" w:rsidRDefault="00DC5C33" w:rsidP="00A34092">
      <w:pPr>
        <w:jc w:val="both"/>
        <w:rPr>
          <w:rFonts w:ascii="Century Gothic" w:hAnsi="Century Gothic"/>
          <w:b/>
        </w:rPr>
      </w:pPr>
      <w:r w:rsidRPr="008041A9">
        <w:rPr>
          <w:rFonts w:ascii="Century Gothic" w:hAnsi="Century Gothic"/>
          <w:b/>
        </w:rPr>
        <w:t>1</w:t>
      </w:r>
      <w:r w:rsidRPr="008041A9">
        <w:rPr>
          <w:rFonts w:ascii="Century Gothic" w:hAnsi="Century Gothic"/>
          <w:b/>
          <w:vertAlign w:val="superscript"/>
        </w:rPr>
        <w:t>ère</w:t>
      </w:r>
      <w:r w:rsidR="00173EB1" w:rsidRPr="008041A9">
        <w:rPr>
          <w:rFonts w:ascii="Century Gothic" w:hAnsi="Century Gothic"/>
          <w:b/>
        </w:rPr>
        <w:t xml:space="preserve"> partie :</w:t>
      </w:r>
      <w:r w:rsidR="00C31AF8" w:rsidRPr="008041A9">
        <w:rPr>
          <w:rFonts w:ascii="Century Gothic" w:hAnsi="Century Gothic"/>
          <w:b/>
        </w:rPr>
        <w:t xml:space="preserve"> </w:t>
      </w:r>
      <w:r w:rsidR="00A34092" w:rsidRPr="00A34092">
        <w:rPr>
          <w:rFonts w:ascii="Century Gothic" w:hAnsi="Century Gothic"/>
          <w:b/>
          <w:bCs/>
        </w:rPr>
        <w:t>Les droits de l’homme, la démocratie et l’État de droit comme fondements de l’intégration européenne</w:t>
      </w:r>
    </w:p>
    <w:p w14:paraId="3042FF05" w14:textId="13858245" w:rsidR="00A34092" w:rsidRPr="00A34092" w:rsidRDefault="00A34092" w:rsidP="00A34092">
      <w:pPr>
        <w:jc w:val="both"/>
        <w:rPr>
          <w:rFonts w:ascii="Century Gothic" w:hAnsi="Century Gothic"/>
          <w:bCs/>
        </w:rPr>
      </w:pPr>
      <w:r w:rsidRPr="00A34092">
        <w:rPr>
          <w:rFonts w:ascii="Century Gothic" w:hAnsi="Century Gothic"/>
          <w:bCs/>
        </w:rPr>
        <w:t>-Les valeurs fondatrices du Conseil de l’Europe</w:t>
      </w:r>
    </w:p>
    <w:p w14:paraId="153E1EE9" w14:textId="4D10ECB8" w:rsidR="00A34092" w:rsidRPr="00A34092" w:rsidRDefault="00A34092" w:rsidP="00A34092">
      <w:pPr>
        <w:jc w:val="both"/>
        <w:rPr>
          <w:rFonts w:ascii="Century Gothic" w:hAnsi="Century Gothic"/>
          <w:bCs/>
        </w:rPr>
      </w:pPr>
      <w:r w:rsidRPr="00A34092">
        <w:rPr>
          <w:rFonts w:ascii="Century Gothic" w:hAnsi="Century Gothic"/>
          <w:bCs/>
        </w:rPr>
        <w:t>-Les valeurs de l’Union européenne</w:t>
      </w:r>
    </w:p>
    <w:p w14:paraId="0B349E0D" w14:textId="3ABE206A" w:rsidR="00A34092" w:rsidRPr="00A34092" w:rsidRDefault="00A34092" w:rsidP="00A34092">
      <w:pPr>
        <w:jc w:val="both"/>
        <w:rPr>
          <w:rFonts w:ascii="Century Gothic" w:hAnsi="Century Gothic"/>
          <w:bCs/>
        </w:rPr>
      </w:pPr>
      <w:r w:rsidRPr="00A34092">
        <w:rPr>
          <w:rFonts w:ascii="Century Gothic" w:hAnsi="Century Gothic"/>
          <w:bCs/>
        </w:rPr>
        <w:t>-Les mécanismes politiques, juridictionnels et financiers destinés à garantir ces valeurs</w:t>
      </w:r>
    </w:p>
    <w:p w14:paraId="7C9FFE2F" w14:textId="534D78F6" w:rsidR="00A34092" w:rsidRPr="00A34092" w:rsidRDefault="00A34092" w:rsidP="00A34092">
      <w:pPr>
        <w:jc w:val="both"/>
        <w:rPr>
          <w:rFonts w:ascii="Century Gothic" w:hAnsi="Century Gothic"/>
          <w:bCs/>
        </w:rPr>
      </w:pPr>
      <w:r w:rsidRPr="00A34092">
        <w:rPr>
          <w:rFonts w:ascii="Century Gothic" w:hAnsi="Century Gothic"/>
          <w:bCs/>
        </w:rPr>
        <w:t>-Les crises de l’État de droit et les contestations illibérales</w:t>
      </w:r>
    </w:p>
    <w:p w14:paraId="708FFB8A" w14:textId="77777777" w:rsidR="00A34092" w:rsidRPr="00A34092" w:rsidRDefault="00A34092" w:rsidP="00A34092">
      <w:pPr>
        <w:jc w:val="both"/>
        <w:rPr>
          <w:rFonts w:ascii="Century Gothic" w:hAnsi="Century Gothic"/>
          <w:b/>
        </w:rPr>
      </w:pPr>
    </w:p>
    <w:p w14:paraId="5D00F6BD" w14:textId="17FFD1DF" w:rsidR="00A34092" w:rsidRPr="00A34092" w:rsidRDefault="00DC5C33" w:rsidP="00A34092">
      <w:pPr>
        <w:jc w:val="both"/>
        <w:rPr>
          <w:rFonts w:ascii="Century Gothic" w:hAnsi="Century Gothic"/>
          <w:b/>
        </w:rPr>
      </w:pPr>
      <w:r w:rsidRPr="008041A9">
        <w:rPr>
          <w:rFonts w:ascii="Century Gothic" w:hAnsi="Century Gothic"/>
          <w:b/>
        </w:rPr>
        <w:t>2</w:t>
      </w:r>
      <w:r w:rsidRPr="008041A9">
        <w:rPr>
          <w:rFonts w:ascii="Century Gothic" w:hAnsi="Century Gothic"/>
          <w:b/>
          <w:vertAlign w:val="superscript"/>
        </w:rPr>
        <w:t>ème</w:t>
      </w:r>
      <w:r w:rsidRPr="008041A9">
        <w:rPr>
          <w:rFonts w:ascii="Century Gothic" w:hAnsi="Century Gothic"/>
          <w:b/>
        </w:rPr>
        <w:t xml:space="preserve"> partie : </w:t>
      </w:r>
      <w:r w:rsidR="00A34092" w:rsidRPr="00A34092">
        <w:rPr>
          <w:rFonts w:ascii="Century Gothic" w:hAnsi="Century Gothic"/>
          <w:b/>
          <w:bCs/>
        </w:rPr>
        <w:t>Le pluralisme européen de la protection des droits fondamentaux</w:t>
      </w:r>
    </w:p>
    <w:p w14:paraId="65EC4773" w14:textId="5216C9BA" w:rsidR="004C1499" w:rsidRPr="004C1499" w:rsidRDefault="004C1499" w:rsidP="004C1499">
      <w:pPr>
        <w:jc w:val="both"/>
        <w:rPr>
          <w:rFonts w:ascii="Century Gothic" w:hAnsi="Century Gothic"/>
          <w:bCs/>
        </w:rPr>
      </w:pPr>
      <w:r w:rsidRPr="004C1499">
        <w:rPr>
          <w:rFonts w:ascii="Century Gothic" w:hAnsi="Century Gothic"/>
          <w:bCs/>
        </w:rPr>
        <w:t>-La coexistence de deux systèmes européens : la Convention européenne des droits de l’homme et la Charte des droits fondamentaux de l’Union européenne</w:t>
      </w:r>
    </w:p>
    <w:p w14:paraId="61D8DD1D" w14:textId="5D725596" w:rsidR="004C1499" w:rsidRPr="004C1499" w:rsidRDefault="004C1499" w:rsidP="004C1499">
      <w:pPr>
        <w:jc w:val="both"/>
        <w:rPr>
          <w:rFonts w:ascii="Century Gothic" w:hAnsi="Century Gothic"/>
          <w:bCs/>
        </w:rPr>
      </w:pPr>
      <w:r>
        <w:rPr>
          <w:rFonts w:ascii="Century Gothic" w:hAnsi="Century Gothic"/>
          <w:bCs/>
        </w:rPr>
        <w:t>-</w:t>
      </w:r>
      <w:r w:rsidRPr="004C1499">
        <w:rPr>
          <w:rFonts w:ascii="Century Gothic" w:hAnsi="Century Gothic"/>
          <w:bCs/>
        </w:rPr>
        <w:t>Les fondements et les manifestations de la protection européenne des droits fondamentaux : dignité humaine, égalité et non-discrimination, droits des personnes LGBTI, liberté d’expression</w:t>
      </w:r>
    </w:p>
    <w:p w14:paraId="030A6604" w14:textId="08D2DA00" w:rsidR="00BB24D2" w:rsidRPr="00BB24D2" w:rsidRDefault="004C1499" w:rsidP="00BB24D2">
      <w:pPr>
        <w:jc w:val="both"/>
        <w:rPr>
          <w:rFonts w:ascii="Century Gothic" w:hAnsi="Century Gothic"/>
          <w:bCs/>
        </w:rPr>
      </w:pPr>
      <w:r>
        <w:rPr>
          <w:rFonts w:ascii="Century Gothic" w:hAnsi="Century Gothic"/>
          <w:bCs/>
        </w:rPr>
        <w:t>-L</w:t>
      </w:r>
      <w:r w:rsidRPr="004C1499">
        <w:rPr>
          <w:rFonts w:ascii="Century Gothic" w:hAnsi="Century Gothic"/>
          <w:bCs/>
        </w:rPr>
        <w:t>es interactions entre la Cour européenne des droits de l’homme et la Cour de justice de l’Union européenne</w:t>
      </w:r>
      <w:r w:rsidR="00BB24D2">
        <w:rPr>
          <w:rFonts w:ascii="Century Gothic" w:hAnsi="Century Gothic"/>
          <w:bCs/>
        </w:rPr>
        <w:t> ; l</w:t>
      </w:r>
      <w:r w:rsidR="00BB24D2" w:rsidRPr="00BB24D2">
        <w:rPr>
          <w:rFonts w:ascii="Century Gothic" w:hAnsi="Century Gothic"/>
          <w:bCs/>
        </w:rPr>
        <w:t xml:space="preserve">’adhésion de l’Union européenne à la Convention européenne des droits de </w:t>
      </w:r>
    </w:p>
    <w:p w14:paraId="57A7832A" w14:textId="110A820E" w:rsidR="004C1499" w:rsidRDefault="004C1499" w:rsidP="004C1499">
      <w:pPr>
        <w:jc w:val="both"/>
        <w:rPr>
          <w:rFonts w:ascii="Century Gothic" w:hAnsi="Century Gothic"/>
          <w:bCs/>
        </w:rPr>
      </w:pPr>
    </w:p>
    <w:p w14:paraId="10FAE6D4" w14:textId="77777777" w:rsidR="00107938" w:rsidRDefault="00107938" w:rsidP="004C1499">
      <w:pPr>
        <w:jc w:val="both"/>
        <w:rPr>
          <w:rFonts w:ascii="Century Gothic" w:hAnsi="Century Gothic"/>
          <w:bCs/>
        </w:rPr>
      </w:pPr>
    </w:p>
    <w:p w14:paraId="3E73C67D" w14:textId="299818DC" w:rsidR="00107938" w:rsidRPr="00107938" w:rsidRDefault="00107938" w:rsidP="004C1499">
      <w:pPr>
        <w:jc w:val="both"/>
        <w:rPr>
          <w:rFonts w:ascii="Century Gothic" w:hAnsi="Century Gothic"/>
          <w:b/>
        </w:rPr>
      </w:pPr>
      <w:r w:rsidRPr="00107938">
        <w:rPr>
          <w:rFonts w:ascii="Century Gothic" w:hAnsi="Century Gothic"/>
          <w:b/>
        </w:rPr>
        <w:t>3</w:t>
      </w:r>
      <w:r w:rsidRPr="00107938">
        <w:rPr>
          <w:rFonts w:ascii="Century Gothic" w:hAnsi="Century Gothic"/>
          <w:b/>
          <w:vertAlign w:val="superscript"/>
        </w:rPr>
        <w:t>ème</w:t>
      </w:r>
      <w:r w:rsidRPr="00107938">
        <w:rPr>
          <w:rFonts w:ascii="Century Gothic" w:hAnsi="Century Gothic"/>
          <w:b/>
        </w:rPr>
        <w:t xml:space="preserve"> partie</w:t>
      </w:r>
      <w:r>
        <w:rPr>
          <w:rFonts w:ascii="Century Gothic" w:hAnsi="Century Gothic"/>
          <w:b/>
        </w:rPr>
        <w:t> :</w:t>
      </w:r>
      <w:r w:rsidR="00BB24D2" w:rsidRPr="00BB24D2">
        <w:rPr>
          <w:rFonts w:ascii="Times New Roman" w:eastAsia="Times New Roman" w:hAnsi="Times New Roman" w:cs="Times New Roman"/>
          <w:b/>
          <w:bCs/>
          <w:color w:val="000000"/>
        </w:rPr>
        <w:t xml:space="preserve"> </w:t>
      </w:r>
      <w:r w:rsidR="00BB24D2" w:rsidRPr="00BB24D2">
        <w:rPr>
          <w:rFonts w:ascii="Century Gothic" w:hAnsi="Century Gothic"/>
          <w:b/>
          <w:bCs/>
        </w:rPr>
        <w:t>3. La protection européenne des droits de l’homme à l’épreuve de sa contestation</w:t>
      </w:r>
    </w:p>
    <w:p w14:paraId="505FD619" w14:textId="2FAF6DBD" w:rsidR="004C1499" w:rsidRPr="004C1499" w:rsidRDefault="004C1499" w:rsidP="00BB24D2">
      <w:pPr>
        <w:jc w:val="both"/>
        <w:rPr>
          <w:rFonts w:ascii="Century Gothic" w:hAnsi="Century Gothic"/>
          <w:bCs/>
        </w:rPr>
      </w:pPr>
      <w:r>
        <w:rPr>
          <w:rFonts w:ascii="Century Gothic" w:hAnsi="Century Gothic"/>
          <w:bCs/>
        </w:rPr>
        <w:t>-</w:t>
      </w:r>
      <w:r w:rsidRPr="004C1499">
        <w:rPr>
          <w:rFonts w:ascii="Century Gothic" w:hAnsi="Century Gothic"/>
          <w:bCs/>
        </w:rPr>
        <w:t xml:space="preserve">Les contestations </w:t>
      </w:r>
      <w:proofErr w:type="gramStart"/>
      <w:r w:rsidR="001504E0" w:rsidRPr="004C1499">
        <w:rPr>
          <w:rFonts w:ascii="Century Gothic" w:hAnsi="Century Gothic"/>
          <w:bCs/>
        </w:rPr>
        <w:t>contemporaines:</w:t>
      </w:r>
      <w:proofErr w:type="gramEnd"/>
      <w:r w:rsidR="001504E0">
        <w:rPr>
          <w:rFonts w:ascii="Century Gothic" w:hAnsi="Century Gothic"/>
          <w:bCs/>
        </w:rPr>
        <w:t xml:space="preserve"> </w:t>
      </w:r>
      <w:r w:rsidRPr="004C1499">
        <w:rPr>
          <w:rFonts w:ascii="Century Gothic" w:hAnsi="Century Gothic"/>
          <w:bCs/>
        </w:rPr>
        <w:t>critiques de l’universalisme, revendications de souveraineté, accusations d’activisme judiciaire</w:t>
      </w:r>
      <w:r w:rsidR="00BB24D2">
        <w:rPr>
          <w:rFonts w:ascii="Century Gothic" w:hAnsi="Century Gothic"/>
          <w:bCs/>
        </w:rPr>
        <w:t xml:space="preserve"> contre les cours européennes ;</w:t>
      </w:r>
      <w:r w:rsidR="00BB24D2" w:rsidRPr="00BB24D2">
        <w:rPr>
          <w:rFonts w:ascii="Century Gothic" w:hAnsi="Century Gothic"/>
          <w:bCs/>
        </w:rPr>
        <w:t xml:space="preserve"> Dialogue institutionnel, résistance nationale et pression politique</w:t>
      </w:r>
      <w:r w:rsidR="00BB24D2">
        <w:rPr>
          <w:rFonts w:ascii="Century Gothic" w:hAnsi="Century Gothic"/>
          <w:bCs/>
        </w:rPr>
        <w:t> ;</w:t>
      </w:r>
      <w:r w:rsidR="00BB24D2" w:rsidRPr="00BB24D2">
        <w:rPr>
          <w:rFonts w:ascii="Century Gothic" w:hAnsi="Century Gothic"/>
          <w:bCs/>
        </w:rPr>
        <w:t xml:space="preserve"> Étude de cas : de la Déclaration de Copenhague à la Déclaration de Chi</w:t>
      </w:r>
      <w:r w:rsidR="00BB24D2" w:rsidRPr="00BB24D2">
        <w:rPr>
          <w:rFonts w:ascii="Calibri" w:hAnsi="Calibri" w:cs="Calibri"/>
          <w:bCs/>
        </w:rPr>
        <w:t>ș</w:t>
      </w:r>
      <w:r w:rsidR="00BB24D2" w:rsidRPr="00BB24D2">
        <w:rPr>
          <w:rFonts w:ascii="Century Gothic" w:hAnsi="Century Gothic"/>
          <w:bCs/>
        </w:rPr>
        <w:t>inău</w:t>
      </w:r>
      <w:r w:rsidR="00BB24D2">
        <w:rPr>
          <w:rFonts w:ascii="Century Gothic" w:hAnsi="Century Gothic"/>
          <w:bCs/>
        </w:rPr>
        <w:t>.</w:t>
      </w:r>
    </w:p>
    <w:p w14:paraId="58004260" w14:textId="0C752238" w:rsidR="00DC5C33" w:rsidRPr="008041A9" w:rsidRDefault="00DC5C33" w:rsidP="00C31AF8">
      <w:pPr>
        <w:jc w:val="both"/>
        <w:rPr>
          <w:rFonts w:ascii="Century Gothic" w:hAnsi="Century Gothic"/>
        </w:rPr>
      </w:pPr>
    </w:p>
    <w:p w14:paraId="3B9DCFBE" w14:textId="77777777" w:rsidR="004D0455" w:rsidRPr="008041A9" w:rsidRDefault="004D0455" w:rsidP="00C31AF8">
      <w:pPr>
        <w:jc w:val="both"/>
        <w:rPr>
          <w:rFonts w:ascii="Century Gothic" w:hAnsi="Century Gothic"/>
        </w:rPr>
      </w:pPr>
    </w:p>
    <w:p w14:paraId="058CA009" w14:textId="5ADDA009" w:rsidR="00DC5C33" w:rsidRPr="008041A9" w:rsidRDefault="008D370E" w:rsidP="00C31AF8">
      <w:pPr>
        <w:jc w:val="both"/>
        <w:rPr>
          <w:rFonts w:ascii="Century Gothic" w:hAnsi="Century Gothic"/>
          <w:b/>
          <w:u w:val="single"/>
        </w:rPr>
      </w:pPr>
      <w:r w:rsidRPr="008041A9">
        <w:rPr>
          <w:rFonts w:ascii="Century Gothic" w:hAnsi="Century Gothic"/>
          <w:b/>
          <w:u w:val="single"/>
        </w:rPr>
        <w:t xml:space="preserve">Eléments de </w:t>
      </w:r>
      <w:r w:rsidR="00961BD7" w:rsidRPr="008041A9">
        <w:rPr>
          <w:rFonts w:ascii="Century Gothic" w:hAnsi="Century Gothic"/>
          <w:b/>
          <w:u w:val="single"/>
        </w:rPr>
        <w:t>Bibliographie :</w:t>
      </w:r>
    </w:p>
    <w:p w14:paraId="529E611F" w14:textId="77777777" w:rsidR="008041A9" w:rsidRPr="004C1499" w:rsidRDefault="008041A9" w:rsidP="00C31AF8">
      <w:pPr>
        <w:jc w:val="both"/>
        <w:rPr>
          <w:rFonts w:ascii="Century Gothic" w:hAnsi="Century Gothic"/>
          <w:b/>
          <w:u w:val="single"/>
        </w:rPr>
      </w:pPr>
    </w:p>
    <w:p w14:paraId="477FA8FA" w14:textId="77777777" w:rsidR="00FD5770" w:rsidRDefault="00FD5770" w:rsidP="001971F5">
      <w:pPr>
        <w:pStyle w:val="Heading3"/>
        <w:jc w:val="both"/>
        <w:rPr>
          <w:rFonts w:ascii="Century Gothic" w:hAnsi="Century Gothic"/>
          <w:color w:val="000000"/>
        </w:rPr>
      </w:pPr>
      <w:r w:rsidRPr="004C1499">
        <w:rPr>
          <w:rFonts w:ascii="Century Gothic" w:hAnsi="Century Gothic"/>
          <w:color w:val="000000"/>
        </w:rPr>
        <w:t>Ouvrages de référence (généraux)</w:t>
      </w:r>
    </w:p>
    <w:p w14:paraId="2B10E27F" w14:textId="6DCD8E75" w:rsidR="001971F5" w:rsidRPr="00EF7FFE" w:rsidRDefault="001971F5" w:rsidP="001971F5">
      <w:pPr>
        <w:rPr>
          <w:rFonts w:ascii="Century Gothic" w:hAnsi="Century Gothic"/>
          <w:lang w:val="en-US"/>
        </w:rPr>
      </w:pPr>
      <w:r w:rsidRPr="00EF7FFE">
        <w:rPr>
          <w:rFonts w:ascii="Century Gothic" w:hAnsi="Century Gothic"/>
          <w:lang w:val="en-US"/>
        </w:rPr>
        <w:t>-Michael Freeman, </w:t>
      </w:r>
      <w:r w:rsidRPr="00EF7FFE">
        <w:rPr>
          <w:rFonts w:ascii="Century Gothic" w:hAnsi="Century Gothic"/>
          <w:i/>
          <w:iCs/>
          <w:lang w:val="en-US"/>
        </w:rPr>
        <w:t>Human Rights</w:t>
      </w:r>
      <w:proofErr w:type="gramStart"/>
      <w:r w:rsidRPr="00EF7FFE">
        <w:rPr>
          <w:rFonts w:ascii="Century Gothic" w:hAnsi="Century Gothic"/>
          <w:i/>
          <w:iCs/>
          <w:lang w:val="en-US"/>
        </w:rPr>
        <w:t>:  An</w:t>
      </w:r>
      <w:proofErr w:type="gramEnd"/>
      <w:r w:rsidRPr="00EF7FFE">
        <w:rPr>
          <w:rFonts w:ascii="Century Gothic" w:hAnsi="Century Gothic"/>
          <w:i/>
          <w:iCs/>
          <w:lang w:val="en-US"/>
        </w:rPr>
        <w:t xml:space="preserve"> Interdisciplinary Approach</w:t>
      </w:r>
      <w:r w:rsidRPr="00EF7FFE">
        <w:rPr>
          <w:rFonts w:ascii="Century Gothic" w:hAnsi="Century Gothic"/>
          <w:lang w:val="en-US"/>
        </w:rPr>
        <w:t xml:space="preserve">, Polity Press, 4e </w:t>
      </w:r>
      <w:proofErr w:type="spellStart"/>
      <w:r w:rsidRPr="00EF7FFE">
        <w:rPr>
          <w:rFonts w:ascii="Century Gothic" w:hAnsi="Century Gothic"/>
          <w:lang w:val="en-US"/>
        </w:rPr>
        <w:t>éd</w:t>
      </w:r>
      <w:proofErr w:type="spellEnd"/>
      <w:r w:rsidRPr="00EF7FFE">
        <w:rPr>
          <w:rFonts w:ascii="Century Gothic" w:hAnsi="Century Gothic"/>
          <w:lang w:val="en-US"/>
        </w:rPr>
        <w:t>., 2022.</w:t>
      </w:r>
    </w:p>
    <w:p w14:paraId="2E85AF39" w14:textId="6E577AFD" w:rsidR="004C1499" w:rsidRPr="001971F5" w:rsidRDefault="004C1499" w:rsidP="001971F5">
      <w:pPr>
        <w:jc w:val="both"/>
        <w:rPr>
          <w:rFonts w:ascii="Century Gothic" w:hAnsi="Century Gothic"/>
        </w:rPr>
      </w:pPr>
      <w:r w:rsidRPr="001971F5">
        <w:rPr>
          <w:rFonts w:ascii="Century Gothic" w:hAnsi="Century Gothic"/>
        </w:rPr>
        <w:t>-Frédéric Sudre, </w:t>
      </w:r>
      <w:r w:rsidRPr="001971F5">
        <w:rPr>
          <w:rFonts w:ascii="Century Gothic" w:hAnsi="Century Gothic"/>
          <w:i/>
          <w:iCs/>
        </w:rPr>
        <w:t>Droit européen et international des droits de l’homme</w:t>
      </w:r>
      <w:r w:rsidRPr="001971F5">
        <w:rPr>
          <w:rFonts w:ascii="Century Gothic" w:hAnsi="Century Gothic"/>
        </w:rPr>
        <w:t>, PUF, coll. « Droit fondamental », 17e éd., 2025.</w:t>
      </w:r>
    </w:p>
    <w:p w14:paraId="599FE2A4" w14:textId="1E884F50" w:rsidR="004C1499" w:rsidRPr="00EF7FFE" w:rsidRDefault="004C1499" w:rsidP="001971F5">
      <w:pPr>
        <w:jc w:val="both"/>
        <w:rPr>
          <w:rFonts w:ascii="Century Gothic" w:hAnsi="Century Gothic"/>
          <w:lang w:val="en-US"/>
        </w:rPr>
      </w:pPr>
      <w:r w:rsidRPr="00EF7FFE">
        <w:rPr>
          <w:rFonts w:ascii="Century Gothic" w:hAnsi="Century Gothic"/>
          <w:lang w:val="en-US"/>
        </w:rPr>
        <w:t>-David Harris, Michael O’Boyle, Ed Bates et Carla Buckley, </w:t>
      </w:r>
      <w:r w:rsidRPr="00EF7FFE">
        <w:rPr>
          <w:rFonts w:ascii="Century Gothic" w:hAnsi="Century Gothic"/>
          <w:i/>
          <w:iCs/>
          <w:lang w:val="en-US"/>
        </w:rPr>
        <w:t>Harris, O’Boyle, and Warbrick: Law of the European Convention on Human Rights</w:t>
      </w:r>
      <w:r w:rsidRPr="00EF7FFE">
        <w:rPr>
          <w:rFonts w:ascii="Century Gothic" w:hAnsi="Century Gothic"/>
          <w:lang w:val="en-US"/>
        </w:rPr>
        <w:t xml:space="preserve">, Oxford University Press, 5e </w:t>
      </w:r>
      <w:proofErr w:type="spellStart"/>
      <w:r w:rsidRPr="00EF7FFE">
        <w:rPr>
          <w:rFonts w:ascii="Century Gothic" w:hAnsi="Century Gothic"/>
          <w:lang w:val="en-US"/>
        </w:rPr>
        <w:t>éd</w:t>
      </w:r>
      <w:proofErr w:type="spellEnd"/>
      <w:r w:rsidRPr="00EF7FFE">
        <w:rPr>
          <w:rFonts w:ascii="Century Gothic" w:hAnsi="Century Gothic"/>
          <w:lang w:val="en-US"/>
        </w:rPr>
        <w:t>., 2023.</w:t>
      </w:r>
    </w:p>
    <w:p w14:paraId="65C68B9C" w14:textId="0DE6D4C0" w:rsidR="004C1499" w:rsidRPr="00EF7FFE" w:rsidRDefault="004C1499" w:rsidP="001971F5">
      <w:pPr>
        <w:jc w:val="both"/>
        <w:rPr>
          <w:rFonts w:ascii="Century Gothic" w:hAnsi="Century Gothic"/>
          <w:lang w:val="en-US"/>
        </w:rPr>
      </w:pPr>
      <w:r w:rsidRPr="00EF7FFE">
        <w:rPr>
          <w:rFonts w:ascii="Century Gothic" w:hAnsi="Century Gothic"/>
          <w:lang w:val="en-US"/>
        </w:rPr>
        <w:t>-Steve Peers, Tamara Hervey, Jeff Kenner et Angela Ward (dir.), </w:t>
      </w:r>
      <w:r w:rsidRPr="00EF7FFE">
        <w:rPr>
          <w:rFonts w:ascii="Century Gothic" w:hAnsi="Century Gothic"/>
          <w:i/>
          <w:iCs/>
          <w:lang w:val="en-US"/>
        </w:rPr>
        <w:t>The EU Charter of Fundamental Rights: A Commentary</w:t>
      </w:r>
      <w:r w:rsidRPr="00EF7FFE">
        <w:rPr>
          <w:rFonts w:ascii="Century Gothic" w:hAnsi="Century Gothic"/>
          <w:lang w:val="en-US"/>
        </w:rPr>
        <w:t xml:space="preserve">, Hart Publishing, 2e </w:t>
      </w:r>
      <w:proofErr w:type="spellStart"/>
      <w:r w:rsidRPr="00EF7FFE">
        <w:rPr>
          <w:rFonts w:ascii="Century Gothic" w:hAnsi="Century Gothic"/>
          <w:lang w:val="en-US"/>
        </w:rPr>
        <w:t>éd</w:t>
      </w:r>
      <w:proofErr w:type="spellEnd"/>
      <w:r w:rsidRPr="00EF7FFE">
        <w:rPr>
          <w:rFonts w:ascii="Century Gothic" w:hAnsi="Century Gothic"/>
          <w:lang w:val="en-US"/>
        </w:rPr>
        <w:t>., 2021.</w:t>
      </w:r>
    </w:p>
    <w:p w14:paraId="07A8EA94" w14:textId="08C0BAF5" w:rsidR="004C1499" w:rsidRPr="004C1499" w:rsidRDefault="004C1499" w:rsidP="001971F5">
      <w:pPr>
        <w:jc w:val="both"/>
        <w:rPr>
          <w:rFonts w:ascii="Century Gothic" w:hAnsi="Century Gothic"/>
        </w:rPr>
      </w:pPr>
      <w:r w:rsidRPr="001971F5">
        <w:rPr>
          <w:rFonts w:ascii="Century Gothic" w:hAnsi="Century Gothic"/>
        </w:rPr>
        <w:t>-Mikael Rask Madsen, </w:t>
      </w:r>
      <w:r w:rsidRPr="001971F5">
        <w:rPr>
          <w:rFonts w:ascii="Century Gothic" w:hAnsi="Century Gothic"/>
          <w:i/>
          <w:iCs/>
        </w:rPr>
        <w:t>La genèse de l’Europe des droits de l’homme. Enjeux juridiques et stratégies d’État (France, Grande-Bretagne et pays scandinaves, 1945-1970)</w:t>
      </w:r>
      <w:r w:rsidRPr="001971F5">
        <w:rPr>
          <w:rFonts w:ascii="Century Gothic" w:hAnsi="Century Gothic"/>
        </w:rPr>
        <w:t>, Presses universitaires de Strasbourg, 2010.</w:t>
      </w:r>
      <w:r w:rsidRPr="001971F5">
        <w:rPr>
          <w:rFonts w:ascii="Century Gothic" w:hAnsi="Century Gothic"/>
        </w:rPr>
        <w:br/>
      </w:r>
      <w:r w:rsidR="001971F5" w:rsidRPr="001971F5">
        <w:rPr>
          <w:rFonts w:ascii="Century Gothic" w:hAnsi="Century Gothic"/>
        </w:rPr>
        <w:lastRenderedPageBreak/>
        <w:t>-</w:t>
      </w:r>
      <w:r w:rsidRPr="001971F5">
        <w:rPr>
          <w:rFonts w:ascii="Century Gothic" w:hAnsi="Century Gothic"/>
        </w:rPr>
        <w:t>Justine Lacroix et Jean-Yves Pranchère, </w:t>
      </w:r>
      <w:r w:rsidRPr="001971F5">
        <w:rPr>
          <w:rFonts w:ascii="Century Gothic" w:hAnsi="Century Gothic"/>
          <w:i/>
          <w:iCs/>
        </w:rPr>
        <w:t>Le Procès des droits de l’homme.</w:t>
      </w:r>
      <w:r w:rsidRPr="004C1499">
        <w:rPr>
          <w:rFonts w:ascii="Century Gothic" w:hAnsi="Century Gothic"/>
          <w:i/>
          <w:iCs/>
        </w:rPr>
        <w:t xml:space="preserve"> Généalogie du scepticisme démocratique</w:t>
      </w:r>
      <w:r w:rsidRPr="004C1499">
        <w:rPr>
          <w:rFonts w:ascii="Century Gothic" w:hAnsi="Century Gothic"/>
        </w:rPr>
        <w:t xml:space="preserve">, Seuil, coll. « La Couleur des </w:t>
      </w:r>
      <w:proofErr w:type="gramStart"/>
      <w:r w:rsidRPr="004C1499">
        <w:rPr>
          <w:rFonts w:ascii="Century Gothic" w:hAnsi="Century Gothic"/>
        </w:rPr>
        <w:t>idées»</w:t>
      </w:r>
      <w:proofErr w:type="gramEnd"/>
      <w:r w:rsidRPr="004C1499">
        <w:rPr>
          <w:rFonts w:ascii="Century Gothic" w:hAnsi="Century Gothic"/>
        </w:rPr>
        <w:t>, 2016.</w:t>
      </w:r>
    </w:p>
    <w:p w14:paraId="257BC680" w14:textId="77777777" w:rsidR="00FD5770" w:rsidRPr="00FD5770" w:rsidRDefault="00FD5770" w:rsidP="00FD5770">
      <w:pPr>
        <w:pStyle w:val="ListParagraph"/>
        <w:jc w:val="both"/>
        <w:rPr>
          <w:rFonts w:asciiTheme="majorHAnsi" w:hAnsiTheme="majorHAnsi" w:cstheme="majorHAnsi"/>
        </w:rPr>
      </w:pPr>
    </w:p>
    <w:p w14:paraId="3EF9FEED" w14:textId="446F984A" w:rsidR="00FD5770" w:rsidRPr="00FD5770" w:rsidRDefault="00FD5770" w:rsidP="008041A9">
      <w:pPr>
        <w:pStyle w:val="ListParagraph"/>
        <w:jc w:val="both"/>
        <w:rPr>
          <w:rFonts w:asciiTheme="majorHAnsi" w:hAnsiTheme="majorHAnsi" w:cstheme="majorHAnsi"/>
        </w:rPr>
      </w:pPr>
      <w:r w:rsidRPr="00FD5770">
        <w:rPr>
          <w:rFonts w:asciiTheme="majorHAnsi" w:hAnsiTheme="majorHAnsi" w:cstheme="majorHAnsi"/>
        </w:rPr>
        <w:br/>
      </w:r>
    </w:p>
    <w:p w14:paraId="26D5082F" w14:textId="564B9B7B" w:rsidR="00E70C11" w:rsidRPr="00B7125D" w:rsidRDefault="00E70C11" w:rsidP="00E70C11">
      <w:pPr>
        <w:pStyle w:val="ListParagraph"/>
        <w:spacing w:line="540" w:lineRule="atLeast"/>
        <w:rPr>
          <w:i/>
          <w:iCs/>
          <w:color w:val="000000"/>
          <w:sz w:val="27"/>
          <w:szCs w:val="27"/>
        </w:rPr>
      </w:pPr>
    </w:p>
    <w:p w14:paraId="3CE3B315" w14:textId="33B9325B" w:rsidR="00E9496E" w:rsidRPr="002C419A" w:rsidRDefault="00FA3C8C" w:rsidP="002C419A">
      <w:pPr>
        <w:rPr>
          <w:rFonts w:ascii="Century Gothic" w:hAnsi="Century Gothic"/>
          <w:lang w:val="fr-BE"/>
        </w:rPr>
      </w:pPr>
      <w:r>
        <w:rPr>
          <w:rFonts w:ascii="Century Gothic" w:hAnsi="Century Gothic"/>
          <w:b/>
          <w:u w:val="single"/>
        </w:rPr>
        <w:t>LECTURES</w:t>
      </w:r>
    </w:p>
    <w:p w14:paraId="46D0DA1A" w14:textId="77777777" w:rsidR="00E9496E" w:rsidRDefault="00E9496E" w:rsidP="00925254">
      <w:pPr>
        <w:jc w:val="both"/>
        <w:rPr>
          <w:rFonts w:ascii="Century Gothic" w:hAnsi="Century Gothic"/>
          <w:b/>
          <w:u w:val="single"/>
        </w:rPr>
      </w:pPr>
    </w:p>
    <w:p w14:paraId="030D78AF" w14:textId="507CD626" w:rsidR="00E9496E" w:rsidRDefault="00E9496E" w:rsidP="00925254">
      <w:pPr>
        <w:jc w:val="both"/>
        <w:rPr>
          <w:rFonts w:ascii="Century Gothic" w:hAnsi="Century Gothic"/>
          <w:b/>
          <w:u w:val="single"/>
        </w:rPr>
      </w:pPr>
      <w:r w:rsidRPr="00E05338">
        <w:rPr>
          <w:rFonts w:ascii="Century Gothic" w:hAnsi="Century Gothic"/>
          <w:b/>
          <w:u w:val="single"/>
        </w:rPr>
        <w:t>1</w:t>
      </w:r>
      <w:r w:rsidRPr="00DD669B">
        <w:rPr>
          <w:rFonts w:ascii="Century Gothic" w:hAnsi="Century Gothic"/>
          <w:b/>
          <w:u w:val="single"/>
          <w:vertAlign w:val="superscript"/>
        </w:rPr>
        <w:t>ère</w:t>
      </w:r>
      <w:r>
        <w:rPr>
          <w:rFonts w:ascii="Century Gothic" w:hAnsi="Century Gothic"/>
          <w:b/>
          <w:u w:val="single"/>
        </w:rPr>
        <w:t xml:space="preserve"> </w:t>
      </w:r>
      <w:r w:rsidR="003A1E97">
        <w:rPr>
          <w:rFonts w:ascii="Century Gothic" w:hAnsi="Century Gothic"/>
          <w:b/>
          <w:u w:val="single"/>
        </w:rPr>
        <w:t>semaine</w:t>
      </w:r>
      <w:r w:rsidR="00D904BB">
        <w:rPr>
          <w:rFonts w:ascii="Century Gothic" w:hAnsi="Century Gothic"/>
          <w:b/>
          <w:u w:val="single"/>
        </w:rPr>
        <w:t xml:space="preserve"> </w:t>
      </w:r>
      <w:proofErr w:type="spellStart"/>
      <w:r w:rsidR="00D904BB">
        <w:rPr>
          <w:rFonts w:ascii="Century Gothic" w:hAnsi="Century Gothic"/>
          <w:b/>
          <w:u w:val="single"/>
        </w:rPr>
        <w:t>Uniersalisme</w:t>
      </w:r>
      <w:proofErr w:type="spellEnd"/>
      <w:r w:rsidR="00D904BB">
        <w:rPr>
          <w:rFonts w:ascii="Century Gothic" w:hAnsi="Century Gothic"/>
          <w:b/>
          <w:u w:val="single"/>
        </w:rPr>
        <w:t xml:space="preserve"> et régionalisme</w:t>
      </w:r>
    </w:p>
    <w:p w14:paraId="1FB06937" w14:textId="77777777" w:rsidR="00AF474A" w:rsidRPr="00AF474A" w:rsidRDefault="00AF474A" w:rsidP="00925254">
      <w:pPr>
        <w:jc w:val="both"/>
        <w:rPr>
          <w:rFonts w:ascii="Century Gothic" w:hAnsi="Century Gothic"/>
          <w:b/>
          <w:u w:val="single"/>
        </w:rPr>
      </w:pPr>
    </w:p>
    <w:p w14:paraId="531A7BBD" w14:textId="77777777" w:rsidR="00AF474A" w:rsidRPr="00AF474A" w:rsidRDefault="00AF474A" w:rsidP="00925254">
      <w:pPr>
        <w:pStyle w:val="ListParagraph"/>
        <w:spacing w:after="160" w:line="259" w:lineRule="auto"/>
        <w:ind w:left="0"/>
        <w:jc w:val="both"/>
        <w:rPr>
          <w:rFonts w:ascii="Century Gothic" w:hAnsi="Century Gothic"/>
          <w:b/>
          <w:u w:val="single"/>
        </w:rPr>
      </w:pPr>
    </w:p>
    <w:p w14:paraId="72DC526E" w14:textId="0DB3E6DE" w:rsidR="00E9496E" w:rsidRDefault="00430C8B" w:rsidP="00925254">
      <w:pPr>
        <w:pStyle w:val="ListParagraph"/>
        <w:numPr>
          <w:ilvl w:val="0"/>
          <w:numId w:val="6"/>
        </w:numPr>
        <w:spacing w:after="160" w:line="259" w:lineRule="auto"/>
        <w:ind w:left="0" w:firstLine="0"/>
        <w:jc w:val="both"/>
        <w:rPr>
          <w:rFonts w:ascii="Century Gothic" w:hAnsi="Century Gothic"/>
        </w:rPr>
      </w:pPr>
      <w:r>
        <w:rPr>
          <w:rFonts w:ascii="Century Gothic" w:hAnsi="Century Gothic"/>
        </w:rPr>
        <w:t xml:space="preserve">AG, </w:t>
      </w:r>
      <w:r w:rsidR="00E9496E" w:rsidRPr="00430C8B">
        <w:rPr>
          <w:rFonts w:ascii="Century Gothic" w:hAnsi="Century Gothic"/>
          <w:i/>
        </w:rPr>
        <w:t>Déclaration universelle des droits de l’homme</w:t>
      </w:r>
      <w:r w:rsidR="00E9496E" w:rsidRPr="00E05338">
        <w:rPr>
          <w:rFonts w:ascii="Century Gothic" w:hAnsi="Century Gothic"/>
        </w:rPr>
        <w:t>, Rés. 217 A (III),</w:t>
      </w:r>
      <w:r>
        <w:rPr>
          <w:rFonts w:ascii="Century Gothic" w:hAnsi="Century Gothic"/>
        </w:rPr>
        <w:t xml:space="preserve"> </w:t>
      </w:r>
      <w:r w:rsidR="00602F1F">
        <w:rPr>
          <w:rFonts w:ascii="Century Gothic" w:hAnsi="Century Gothic"/>
        </w:rPr>
        <w:t>Nations Unies</w:t>
      </w:r>
      <w:r w:rsidRPr="00430C8B">
        <w:rPr>
          <w:rFonts w:ascii="Century Gothic" w:hAnsi="Century Gothic"/>
        </w:rPr>
        <w:t>, New York</w:t>
      </w:r>
      <w:r w:rsidR="004530DB">
        <w:rPr>
          <w:rFonts w:ascii="Century Gothic" w:hAnsi="Century Gothic"/>
        </w:rPr>
        <w:t>,</w:t>
      </w:r>
      <w:r w:rsidR="00E9496E" w:rsidRPr="00E05338">
        <w:rPr>
          <w:rFonts w:ascii="Century Gothic" w:hAnsi="Century Gothic"/>
        </w:rPr>
        <w:t xml:space="preserve"> 10 décembre 1948, (</w:t>
      </w:r>
      <w:hyperlink r:id="rId12" w:history="1">
        <w:r w:rsidRPr="00430C8B">
          <w:rPr>
            <w:rStyle w:val="Hyperlink"/>
            <w:rFonts w:ascii="Century Gothic" w:hAnsi="Century Gothic"/>
          </w:rPr>
          <w:t>https://www.un.org/fr/universal-declaration-human-rights/</w:t>
        </w:r>
      </w:hyperlink>
      <w:r w:rsidR="00AB6F4E" w:rsidRPr="00430C8B">
        <w:rPr>
          <w:rFonts w:ascii="Century Gothic" w:hAnsi="Century Gothic"/>
        </w:rPr>
        <w:t>) ;</w:t>
      </w:r>
    </w:p>
    <w:p w14:paraId="37A2CF52" w14:textId="65D89329" w:rsidR="00D904BB" w:rsidRDefault="00D904BB" w:rsidP="00925254">
      <w:pPr>
        <w:pStyle w:val="ListParagraph"/>
        <w:numPr>
          <w:ilvl w:val="0"/>
          <w:numId w:val="6"/>
        </w:numPr>
        <w:spacing w:after="160" w:line="259" w:lineRule="auto"/>
        <w:ind w:left="0" w:firstLine="0"/>
        <w:jc w:val="both"/>
        <w:rPr>
          <w:rFonts w:ascii="Century Gothic" w:hAnsi="Century Gothic"/>
        </w:rPr>
      </w:pPr>
      <w:r w:rsidRPr="00D904BB">
        <w:rPr>
          <w:rFonts w:ascii="Century Gothic" w:hAnsi="Century Gothic"/>
        </w:rPr>
        <w:t>Conférence mondiale sur les droits de l’homme, </w:t>
      </w:r>
      <w:r w:rsidRPr="00D904BB">
        <w:rPr>
          <w:rFonts w:ascii="Century Gothic" w:hAnsi="Century Gothic"/>
          <w:i/>
          <w:iCs/>
        </w:rPr>
        <w:t>Déclaration et Programme d’action de Vienne</w:t>
      </w:r>
      <w:r w:rsidRPr="00D904BB">
        <w:rPr>
          <w:rFonts w:ascii="Century Gothic" w:hAnsi="Century Gothic"/>
        </w:rPr>
        <w:t>, 25 juin 1993, spécialement le paragraphe 5 sur l’universalité des droits et la prise en considération des particularismes régionaux.</w:t>
      </w:r>
    </w:p>
    <w:p w14:paraId="1C5D5F77" w14:textId="77777777" w:rsidR="00744088" w:rsidRPr="00430C8B" w:rsidRDefault="00744088" w:rsidP="00925254">
      <w:pPr>
        <w:pStyle w:val="ListParagraph"/>
        <w:spacing w:after="160" w:line="259" w:lineRule="auto"/>
        <w:ind w:left="0"/>
        <w:jc w:val="both"/>
        <w:rPr>
          <w:rFonts w:ascii="Century Gothic" w:hAnsi="Century Gothic"/>
        </w:rPr>
      </w:pPr>
    </w:p>
    <w:p w14:paraId="3FBF47F0" w14:textId="184BA805" w:rsidR="00355AE2" w:rsidRDefault="00430C8B" w:rsidP="00925254">
      <w:pPr>
        <w:pStyle w:val="ListParagraph"/>
        <w:numPr>
          <w:ilvl w:val="0"/>
          <w:numId w:val="6"/>
        </w:numPr>
        <w:spacing w:after="160" w:line="259" w:lineRule="auto"/>
        <w:ind w:left="0" w:firstLine="0"/>
        <w:jc w:val="both"/>
        <w:rPr>
          <w:rFonts w:ascii="Century Gothic" w:hAnsi="Century Gothic"/>
        </w:rPr>
      </w:pPr>
      <w:r w:rsidRPr="00430C8B">
        <w:rPr>
          <w:rFonts w:ascii="Century Gothic" w:hAnsi="Century Gothic"/>
        </w:rPr>
        <w:t xml:space="preserve">Jean-Manuel </w:t>
      </w:r>
      <w:r w:rsidR="00B60F9D">
        <w:rPr>
          <w:rFonts w:ascii="Century Gothic" w:hAnsi="Century Gothic"/>
        </w:rPr>
        <w:t>Larralde, « </w:t>
      </w:r>
      <w:r w:rsidR="006523FB" w:rsidRPr="00EC439D">
        <w:rPr>
          <w:rFonts w:ascii="Century Gothic" w:hAnsi="Century Gothic"/>
          <w:i/>
          <w:iCs/>
        </w:rPr>
        <w:t xml:space="preserve">Lorsque </w:t>
      </w:r>
      <w:r w:rsidR="00E9496E" w:rsidRPr="00EC439D">
        <w:rPr>
          <w:rFonts w:ascii="Century Gothic" w:hAnsi="Century Gothic"/>
          <w:i/>
          <w:iCs/>
        </w:rPr>
        <w:t>René Cassin</w:t>
      </w:r>
      <w:r w:rsidR="00B60F9D" w:rsidRPr="00EC439D">
        <w:rPr>
          <w:rFonts w:ascii="Century Gothic" w:hAnsi="Century Gothic"/>
          <w:i/>
          <w:iCs/>
        </w:rPr>
        <w:t xml:space="preserve"> </w:t>
      </w:r>
      <w:r w:rsidR="00E9496E" w:rsidRPr="00EC439D">
        <w:rPr>
          <w:rFonts w:ascii="Century Gothic" w:hAnsi="Century Gothic"/>
          <w:i/>
          <w:iCs/>
        </w:rPr>
        <w:t>commentait la Déclaration Uni</w:t>
      </w:r>
      <w:r w:rsidR="00B60F9D" w:rsidRPr="00EC439D">
        <w:rPr>
          <w:rFonts w:ascii="Century Gothic" w:hAnsi="Century Gothic"/>
          <w:i/>
          <w:iCs/>
        </w:rPr>
        <w:t>verselle des Droits de l’Homme ;</w:t>
      </w:r>
      <w:r w:rsidR="00E9496E" w:rsidRPr="00EC439D">
        <w:rPr>
          <w:rFonts w:ascii="Century Gothic" w:hAnsi="Century Gothic"/>
          <w:i/>
          <w:iCs/>
        </w:rPr>
        <w:t xml:space="preserve"> à propos du cours publié dans le Recueil des cours de l’académie </w:t>
      </w:r>
      <w:r w:rsidR="00B60F9D" w:rsidRPr="00EC439D">
        <w:rPr>
          <w:rFonts w:ascii="Century Gothic" w:hAnsi="Century Gothic"/>
          <w:i/>
          <w:iCs/>
        </w:rPr>
        <w:t>de droit international de 1951</w:t>
      </w:r>
      <w:r w:rsidR="00B60F9D" w:rsidRPr="00DF0DDE">
        <w:rPr>
          <w:rFonts w:ascii="Century Gothic" w:hAnsi="Century Gothic"/>
        </w:rPr>
        <w:t> »</w:t>
      </w:r>
      <w:r w:rsidR="00E9496E" w:rsidRPr="00DF0DDE">
        <w:rPr>
          <w:rFonts w:ascii="Century Gothic" w:hAnsi="Century Gothic"/>
        </w:rPr>
        <w:t xml:space="preserve">, </w:t>
      </w:r>
      <w:r w:rsidR="00FE6D45" w:rsidRPr="00DF0DDE">
        <w:rPr>
          <w:rFonts w:ascii="Century Gothic" w:hAnsi="Century Gothic"/>
          <w:i/>
        </w:rPr>
        <w:t>Cahiers de la recherche sur les droits fondamentaux</w:t>
      </w:r>
      <w:r w:rsidR="00E9496E" w:rsidRPr="00DF0DDE">
        <w:rPr>
          <w:rFonts w:ascii="Century Gothic" w:hAnsi="Century Gothic"/>
        </w:rPr>
        <w:t>, n°</w:t>
      </w:r>
      <w:r w:rsidR="002852A8" w:rsidRPr="00DF0DDE">
        <w:rPr>
          <w:rFonts w:ascii="Century Gothic" w:hAnsi="Century Gothic"/>
        </w:rPr>
        <w:t xml:space="preserve"> </w:t>
      </w:r>
      <w:r w:rsidR="00E9496E" w:rsidRPr="00DF0DDE">
        <w:rPr>
          <w:rFonts w:ascii="Century Gothic" w:hAnsi="Century Gothic"/>
        </w:rPr>
        <w:t>7, 2009, pp. 23-</w:t>
      </w:r>
      <w:proofErr w:type="gramStart"/>
      <w:r w:rsidR="00E9496E" w:rsidRPr="00DF0DDE">
        <w:rPr>
          <w:rFonts w:ascii="Century Gothic" w:hAnsi="Century Gothic"/>
        </w:rPr>
        <w:t>32</w:t>
      </w:r>
      <w:r w:rsidR="00B60F9D" w:rsidRPr="00DF0DDE">
        <w:rPr>
          <w:rFonts w:ascii="Century Gothic" w:hAnsi="Century Gothic"/>
        </w:rPr>
        <w:t>,</w:t>
      </w:r>
      <w:r w:rsidR="00355AE2" w:rsidRPr="00DF0DDE">
        <w:rPr>
          <w:rFonts w:ascii="Century Gothic" w:hAnsi="Century Gothic"/>
        </w:rPr>
        <w:t>;</w:t>
      </w:r>
      <w:proofErr w:type="gramEnd"/>
      <w:r w:rsidR="00DF0DDE" w:rsidRPr="00DF0DDE">
        <w:rPr>
          <w:rFonts w:ascii="Century Gothic" w:hAnsi="Century Gothic"/>
        </w:rPr>
        <w:fldChar w:fldCharType="begin"/>
      </w:r>
      <w:r w:rsidR="00DF0DDE" w:rsidRPr="00DF0DDE">
        <w:rPr>
          <w:rFonts w:ascii="Century Gothic" w:hAnsi="Century Gothic"/>
        </w:rPr>
        <w:instrText>HYPERLINK "https://journals.openedition.org/crdf/6657"</w:instrText>
      </w:r>
      <w:r w:rsidR="00DF0DDE" w:rsidRPr="00DF0DDE">
        <w:rPr>
          <w:rFonts w:ascii="Century Gothic" w:hAnsi="Century Gothic"/>
        </w:rPr>
      </w:r>
      <w:r w:rsidR="00DF0DDE" w:rsidRPr="00DF0DDE">
        <w:rPr>
          <w:rFonts w:ascii="Century Gothic" w:hAnsi="Century Gothic"/>
        </w:rPr>
        <w:fldChar w:fldCharType="separate"/>
      </w:r>
      <w:r w:rsidR="00DF0DDE" w:rsidRPr="00DF0DDE">
        <w:rPr>
          <w:rStyle w:val="Hyperlink"/>
          <w:rFonts w:ascii="Century Gothic" w:hAnsi="Century Gothic"/>
        </w:rPr>
        <w:t>https://journals.openedition.org/</w:t>
      </w:r>
      <w:proofErr w:type="spellStart"/>
      <w:r w:rsidR="00DF0DDE" w:rsidRPr="00DF0DDE">
        <w:rPr>
          <w:rStyle w:val="Hyperlink"/>
          <w:rFonts w:ascii="Century Gothic" w:hAnsi="Century Gothic"/>
        </w:rPr>
        <w:t>crdf</w:t>
      </w:r>
      <w:proofErr w:type="spellEnd"/>
      <w:r w:rsidR="00DF0DDE" w:rsidRPr="00DF0DDE">
        <w:rPr>
          <w:rStyle w:val="Hyperlink"/>
          <w:rFonts w:ascii="Century Gothic" w:hAnsi="Century Gothic"/>
        </w:rPr>
        <w:t>/6657</w:t>
      </w:r>
      <w:r w:rsidR="00DF0DDE" w:rsidRPr="00DF0DDE">
        <w:rPr>
          <w:rFonts w:ascii="Century Gothic" w:hAnsi="Century Gothic"/>
        </w:rPr>
        <w:fldChar w:fldCharType="end"/>
      </w:r>
    </w:p>
    <w:p w14:paraId="0F46320D" w14:textId="77777777" w:rsidR="00D904BB" w:rsidRPr="00D904BB" w:rsidRDefault="00D904BB" w:rsidP="00D904BB">
      <w:pPr>
        <w:pStyle w:val="ListParagraph"/>
        <w:rPr>
          <w:rFonts w:ascii="Century Gothic" w:hAnsi="Century Gothic"/>
        </w:rPr>
      </w:pPr>
    </w:p>
    <w:p w14:paraId="2D2804D1" w14:textId="5E1CC700" w:rsidR="00D904BB" w:rsidRDefault="00D904BB" w:rsidP="005C2375">
      <w:pPr>
        <w:pStyle w:val="ListParagraph"/>
        <w:numPr>
          <w:ilvl w:val="0"/>
          <w:numId w:val="6"/>
        </w:numPr>
        <w:spacing w:after="160" w:line="259" w:lineRule="auto"/>
        <w:ind w:left="0" w:firstLine="0"/>
        <w:jc w:val="both"/>
        <w:rPr>
          <w:rFonts w:ascii="Century Gothic" w:hAnsi="Century Gothic"/>
        </w:rPr>
      </w:pPr>
      <w:r w:rsidRPr="00D904BB">
        <w:rPr>
          <w:rFonts w:ascii="Century Gothic" w:hAnsi="Century Gothic"/>
        </w:rPr>
        <w:t xml:space="preserve"> Mikael Rask Madsen, </w:t>
      </w:r>
      <w:r w:rsidRPr="00D904BB">
        <w:rPr>
          <w:rFonts w:ascii="Century Gothic" w:hAnsi="Century Gothic"/>
          <w:i/>
          <w:iCs/>
        </w:rPr>
        <w:t>La genèse de l’Europe des droits de l’homme. Enjeux juridiques et stratégies d’État : France, Grande-Bretagne et pays scandinaves, 1945-1970</w:t>
      </w:r>
      <w:r w:rsidRPr="00D904BB">
        <w:rPr>
          <w:rFonts w:ascii="Century Gothic" w:hAnsi="Century Gothic"/>
        </w:rPr>
        <w:t xml:space="preserve">, Presses universitaires de Strasbourg, 2010, introduction </w:t>
      </w:r>
    </w:p>
    <w:p w14:paraId="11B8571B" w14:textId="77777777" w:rsidR="00D904BB" w:rsidRDefault="00D904BB" w:rsidP="00D904BB">
      <w:pPr>
        <w:pStyle w:val="ListParagraph"/>
        <w:spacing w:after="160" w:line="259" w:lineRule="auto"/>
        <w:ind w:left="0"/>
        <w:jc w:val="both"/>
        <w:rPr>
          <w:rFonts w:ascii="Century Gothic" w:hAnsi="Century Gothic"/>
        </w:rPr>
      </w:pPr>
    </w:p>
    <w:p w14:paraId="7214AC4A" w14:textId="6989809C" w:rsidR="005C2375" w:rsidRPr="005C2375" w:rsidRDefault="005C2375" w:rsidP="005C2375">
      <w:pPr>
        <w:pStyle w:val="ListParagraph"/>
        <w:numPr>
          <w:ilvl w:val="0"/>
          <w:numId w:val="6"/>
        </w:numPr>
        <w:spacing w:after="160" w:line="259" w:lineRule="auto"/>
        <w:ind w:left="0" w:firstLine="0"/>
        <w:jc w:val="both"/>
        <w:rPr>
          <w:rFonts w:ascii="Century Gothic" w:hAnsi="Century Gothic"/>
        </w:rPr>
      </w:pPr>
      <w:r w:rsidRPr="005C2375">
        <w:rPr>
          <w:rFonts w:ascii="Century Gothic" w:hAnsi="Century Gothic"/>
        </w:rPr>
        <w:t>Charte africaine des droits de l’homme et des peuples, 27 juin 1981, préambule, première partie et articles 60 et 61, </w:t>
      </w:r>
      <w:hyperlink r:id="rId13" w:tgtFrame="_new" w:history="1">
        <w:r w:rsidRPr="005C2375">
          <w:rPr>
            <w:rStyle w:val="Hyperlink"/>
            <w:rFonts w:ascii="Century Gothic" w:hAnsi="Century Gothic"/>
          </w:rPr>
          <w:t>texte officiel de l’Union africaine</w:t>
        </w:r>
      </w:hyperlink>
      <w:r w:rsidRPr="005C2375">
        <w:rPr>
          <w:rFonts w:ascii="Century Gothic" w:hAnsi="Century Gothic"/>
        </w:rPr>
        <w:t>.</w:t>
      </w:r>
    </w:p>
    <w:p w14:paraId="0B987245" w14:textId="57BD86EC" w:rsidR="00D904BB" w:rsidRPr="00DF0DDE" w:rsidRDefault="005C2375" w:rsidP="005C2375">
      <w:pPr>
        <w:pStyle w:val="ListParagraph"/>
        <w:numPr>
          <w:ilvl w:val="0"/>
          <w:numId w:val="6"/>
        </w:numPr>
        <w:spacing w:after="160" w:line="259" w:lineRule="auto"/>
        <w:ind w:left="0" w:firstLine="0"/>
        <w:jc w:val="both"/>
        <w:rPr>
          <w:rFonts w:ascii="Century Gothic" w:hAnsi="Century Gothic"/>
        </w:rPr>
      </w:pPr>
      <w:r w:rsidRPr="005C2375">
        <w:rPr>
          <w:rFonts w:ascii="Century Gothic" w:hAnsi="Century Gothic"/>
        </w:rPr>
        <w:t xml:space="preserve">Alioune Badara Fall, « </w:t>
      </w:r>
      <w:r w:rsidRPr="00EC439D">
        <w:rPr>
          <w:rFonts w:ascii="Century Gothic" w:hAnsi="Century Gothic"/>
          <w:i/>
          <w:iCs/>
        </w:rPr>
        <w:t>La Charte africaine des droits de l’homme et des peuples : entre universalisme et régionalisme</w:t>
      </w:r>
      <w:r w:rsidRPr="005C2375">
        <w:rPr>
          <w:rFonts w:ascii="Century Gothic" w:hAnsi="Century Gothic"/>
        </w:rPr>
        <w:t xml:space="preserve"> », </w:t>
      </w:r>
      <w:r w:rsidRPr="005C2375">
        <w:rPr>
          <w:rFonts w:ascii="Century Gothic" w:hAnsi="Century Gothic"/>
          <w:i/>
          <w:iCs/>
        </w:rPr>
        <w:t>Pouvoirs</w:t>
      </w:r>
      <w:r w:rsidRPr="005C2375">
        <w:rPr>
          <w:rFonts w:ascii="Century Gothic" w:hAnsi="Century Gothic"/>
        </w:rPr>
        <w:t>, no 129, 2009, p. 77-100, </w:t>
      </w:r>
      <w:hyperlink r:id="rId14" w:tgtFrame="_new" w:history="1">
        <w:r w:rsidRPr="005C2375">
          <w:rPr>
            <w:rStyle w:val="Hyperlink"/>
            <w:rFonts w:ascii="Century Gothic" w:hAnsi="Century Gothic"/>
          </w:rPr>
          <w:t>en ligne</w:t>
        </w:r>
      </w:hyperlink>
      <w:r w:rsidRPr="005C2375">
        <w:rPr>
          <w:rFonts w:ascii="Century Gothic" w:hAnsi="Century Gothic"/>
        </w:rPr>
        <w:t>.</w:t>
      </w:r>
    </w:p>
    <w:p w14:paraId="130FEE5C" w14:textId="77777777" w:rsidR="00744088" w:rsidRPr="00DF0DDE" w:rsidRDefault="00744088" w:rsidP="00925254">
      <w:pPr>
        <w:pStyle w:val="ListParagraph"/>
        <w:spacing w:after="160" w:line="259" w:lineRule="auto"/>
        <w:ind w:left="0"/>
        <w:jc w:val="both"/>
        <w:rPr>
          <w:rFonts w:ascii="Century Gothic" w:hAnsi="Century Gothic"/>
        </w:rPr>
      </w:pPr>
    </w:p>
    <w:p w14:paraId="6AA62CF0" w14:textId="77777777" w:rsidR="009D3612" w:rsidRPr="00EF7FFE" w:rsidRDefault="009D3612" w:rsidP="00925254">
      <w:pPr>
        <w:jc w:val="both"/>
        <w:rPr>
          <w:rFonts w:ascii="Century Gothic" w:hAnsi="Century Gothic"/>
          <w:b/>
          <w:i/>
          <w:lang w:val="fr-BE"/>
        </w:rPr>
      </w:pPr>
    </w:p>
    <w:p w14:paraId="6099B24B" w14:textId="0359C8CF" w:rsidR="00A96412" w:rsidRPr="00EF7FFE" w:rsidRDefault="00A96412" w:rsidP="00925254">
      <w:pPr>
        <w:pStyle w:val="ListParagraph"/>
        <w:ind w:left="0"/>
        <w:jc w:val="both"/>
        <w:rPr>
          <w:rFonts w:ascii="Century Gothic" w:hAnsi="Century Gothic"/>
          <w:sz w:val="28"/>
          <w:szCs w:val="28"/>
          <w:lang w:val="fr-BE"/>
        </w:rPr>
      </w:pPr>
    </w:p>
    <w:p w14:paraId="3C9628EA" w14:textId="2E50782C" w:rsidR="005C2375" w:rsidRPr="00C53A4E" w:rsidRDefault="00A96412" w:rsidP="005C2375">
      <w:pPr>
        <w:pStyle w:val="Heading2"/>
        <w:rPr>
          <w:rFonts w:ascii="Century Gothic" w:hAnsi="Century Gothic"/>
          <w:b/>
          <w:color w:val="000000"/>
          <w:sz w:val="24"/>
          <w:szCs w:val="24"/>
        </w:rPr>
      </w:pPr>
      <w:r w:rsidRPr="00C53A4E">
        <w:rPr>
          <w:rFonts w:ascii="Century Gothic" w:hAnsi="Century Gothic"/>
          <w:b/>
          <w:sz w:val="24"/>
          <w:szCs w:val="24"/>
          <w:u w:val="single"/>
        </w:rPr>
        <w:t>2</w:t>
      </w:r>
      <w:r w:rsidRPr="00C53A4E">
        <w:rPr>
          <w:rFonts w:ascii="Century Gothic" w:hAnsi="Century Gothic"/>
          <w:b/>
          <w:sz w:val="24"/>
          <w:szCs w:val="24"/>
          <w:u w:val="single"/>
          <w:vertAlign w:val="superscript"/>
        </w:rPr>
        <w:t>ème</w:t>
      </w:r>
      <w:r w:rsidRPr="00C53A4E">
        <w:rPr>
          <w:rFonts w:ascii="Century Gothic" w:hAnsi="Century Gothic"/>
          <w:b/>
          <w:sz w:val="24"/>
          <w:szCs w:val="24"/>
          <w:u w:val="single"/>
        </w:rPr>
        <w:t xml:space="preserve"> semaine</w:t>
      </w:r>
      <w:r w:rsidR="0020010A">
        <w:rPr>
          <w:rFonts w:ascii="Century Gothic" w:hAnsi="Century Gothic"/>
          <w:b/>
          <w:sz w:val="24"/>
          <w:szCs w:val="24"/>
          <w:u w:val="single"/>
        </w:rPr>
        <w:t> :</w:t>
      </w:r>
      <w:r w:rsidR="005C2375" w:rsidRPr="00C53A4E">
        <w:rPr>
          <w:rFonts w:ascii="Century Gothic" w:hAnsi="Century Gothic"/>
          <w:b/>
          <w:color w:val="000000"/>
          <w:sz w:val="24"/>
          <w:szCs w:val="24"/>
        </w:rPr>
        <w:t xml:space="preserve"> Les droits de l’homme, la démocratie et l’État de droit comme fondements de l’intégration européenne</w:t>
      </w:r>
    </w:p>
    <w:p w14:paraId="5326B778" w14:textId="77777777" w:rsidR="005C2375" w:rsidRPr="00C53A4E" w:rsidRDefault="005C2375" w:rsidP="005C2375">
      <w:pPr>
        <w:rPr>
          <w:rFonts w:ascii="Century Gothic" w:hAnsi="Century Gothic"/>
          <w:b/>
        </w:rPr>
      </w:pPr>
    </w:p>
    <w:p w14:paraId="67AC74A5" w14:textId="77777777" w:rsidR="005C2375" w:rsidRPr="00685E07" w:rsidRDefault="005C2375" w:rsidP="005C2375">
      <w:pPr>
        <w:pStyle w:val="Heading3"/>
        <w:rPr>
          <w:rFonts w:ascii="Century Gothic" w:hAnsi="Century Gothic"/>
          <w:color w:val="000000"/>
        </w:rPr>
      </w:pPr>
      <w:r w:rsidRPr="00685E07">
        <w:rPr>
          <w:rFonts w:ascii="Century Gothic" w:hAnsi="Century Gothic"/>
          <w:color w:val="000000"/>
        </w:rPr>
        <w:lastRenderedPageBreak/>
        <w:t>Lectures obligatoires</w:t>
      </w:r>
    </w:p>
    <w:p w14:paraId="5E03BD66" w14:textId="6C65FF1E" w:rsidR="005C2375" w:rsidRPr="00685E07" w:rsidRDefault="00685E07" w:rsidP="00685E07">
      <w:pPr>
        <w:spacing w:before="100" w:beforeAutospacing="1" w:after="100" w:afterAutospacing="1"/>
        <w:rPr>
          <w:rFonts w:ascii="Century Gothic" w:hAnsi="Century Gothic"/>
          <w:color w:val="000000"/>
        </w:rPr>
      </w:pPr>
      <w:r>
        <w:rPr>
          <w:rFonts w:ascii="Century Gothic" w:hAnsi="Century Gothic"/>
          <w:color w:val="000000"/>
        </w:rPr>
        <w:t>1.</w:t>
      </w:r>
      <w:r w:rsidR="005C2375" w:rsidRPr="00685E07">
        <w:rPr>
          <w:rFonts w:ascii="Century Gothic" w:hAnsi="Century Gothic"/>
          <w:color w:val="000000"/>
        </w:rPr>
        <w:t>Statut du Conseil de l’Europe, préambule et articles 1, 3 et 8.</w:t>
      </w:r>
    </w:p>
    <w:p w14:paraId="73AFDDA0" w14:textId="77777777" w:rsidR="0020010A" w:rsidRPr="0020010A" w:rsidRDefault="00685E07" w:rsidP="0020010A">
      <w:pPr>
        <w:spacing w:before="100" w:beforeAutospacing="1" w:after="100" w:afterAutospacing="1"/>
        <w:rPr>
          <w:rFonts w:ascii="Century Gothic" w:hAnsi="Century Gothic"/>
          <w:color w:val="000000"/>
        </w:rPr>
      </w:pPr>
      <w:r w:rsidRPr="0020010A">
        <w:rPr>
          <w:rFonts w:ascii="Century Gothic" w:hAnsi="Century Gothic"/>
          <w:color w:val="000000"/>
        </w:rPr>
        <w:t>2.</w:t>
      </w:r>
      <w:r w:rsidR="005C2375" w:rsidRPr="0020010A">
        <w:rPr>
          <w:rFonts w:ascii="Century Gothic" w:hAnsi="Century Gothic"/>
          <w:color w:val="000000"/>
        </w:rPr>
        <w:t>Convention européenne des droits de l’homme, préambule ; articles 1, 19, 32 et 46.</w:t>
      </w:r>
    </w:p>
    <w:p w14:paraId="7C526C0D" w14:textId="79FBF7D0" w:rsidR="0020010A" w:rsidRPr="0020010A" w:rsidRDefault="0020010A" w:rsidP="00685E07">
      <w:pPr>
        <w:spacing w:before="100" w:beforeAutospacing="1" w:after="100" w:afterAutospacing="1"/>
        <w:rPr>
          <w:rFonts w:ascii="Century Gothic" w:hAnsi="Century Gothic"/>
          <w:bCs/>
          <w:color w:val="000000"/>
        </w:rPr>
      </w:pPr>
      <w:r>
        <w:rPr>
          <w:rFonts w:ascii="Century Gothic" w:hAnsi="Century Gothic"/>
          <w:bCs/>
          <w:color w:val="000000"/>
        </w:rPr>
        <w:t>3.</w:t>
      </w:r>
      <w:r w:rsidRPr="0020010A">
        <w:rPr>
          <w:rFonts w:ascii="Century Gothic" w:hAnsi="Century Gothic"/>
          <w:bCs/>
          <w:color w:val="000000"/>
        </w:rPr>
        <w:t>Conseil de l’Europe, </w:t>
      </w:r>
      <w:r w:rsidRPr="0020010A">
        <w:rPr>
          <w:rFonts w:ascii="Century Gothic" w:hAnsi="Century Gothic"/>
          <w:bCs/>
          <w:i/>
          <w:iCs/>
          <w:color w:val="000000"/>
        </w:rPr>
        <w:t>Déclaration de Reykjavík – Unis autour de nos valeurs</w:t>
      </w:r>
      <w:r w:rsidRPr="0020010A">
        <w:rPr>
          <w:rFonts w:ascii="Century Gothic" w:hAnsi="Century Gothic"/>
          <w:bCs/>
          <w:color w:val="000000"/>
        </w:rPr>
        <w:t>, 17 mai 2023, passages relatifs au système de la Convention et à l’autorité de la Cour.</w:t>
      </w:r>
    </w:p>
    <w:p w14:paraId="3A4786B5" w14:textId="5869DAE0" w:rsidR="005C2375" w:rsidRPr="00685E07" w:rsidRDefault="0020010A" w:rsidP="00685E07">
      <w:pPr>
        <w:spacing w:before="100" w:beforeAutospacing="1" w:after="100" w:afterAutospacing="1"/>
        <w:rPr>
          <w:rFonts w:ascii="Century Gothic" w:hAnsi="Century Gothic"/>
          <w:color w:val="000000"/>
        </w:rPr>
      </w:pPr>
      <w:r>
        <w:rPr>
          <w:rFonts w:ascii="Century Gothic" w:hAnsi="Century Gothic"/>
          <w:color w:val="000000"/>
        </w:rPr>
        <w:t>4</w:t>
      </w:r>
      <w:r w:rsidR="00685E07">
        <w:rPr>
          <w:rFonts w:ascii="Century Gothic" w:hAnsi="Century Gothic"/>
          <w:color w:val="000000"/>
        </w:rPr>
        <w:t>.</w:t>
      </w:r>
      <w:r w:rsidR="005C2375" w:rsidRPr="00685E07">
        <w:rPr>
          <w:rFonts w:ascii="Century Gothic" w:hAnsi="Century Gothic"/>
          <w:color w:val="000000"/>
        </w:rPr>
        <w:t>Traité sur l’Union européenne, préambule et articles 2, 3, 7, 19 et 49.</w:t>
      </w:r>
    </w:p>
    <w:p w14:paraId="650791B6" w14:textId="5CDE10A7" w:rsidR="005C2375" w:rsidRPr="00685E07" w:rsidRDefault="0020010A" w:rsidP="00685E07">
      <w:pPr>
        <w:spacing w:before="100" w:beforeAutospacing="1" w:after="100" w:afterAutospacing="1"/>
        <w:rPr>
          <w:rFonts w:ascii="Century Gothic" w:hAnsi="Century Gothic"/>
          <w:color w:val="000000"/>
        </w:rPr>
      </w:pPr>
      <w:r w:rsidRPr="00EF7FFE">
        <w:rPr>
          <w:rFonts w:ascii="Century Gothic" w:hAnsi="Century Gothic"/>
          <w:color w:val="000000"/>
          <w:lang w:val="en-US"/>
        </w:rPr>
        <w:t>5</w:t>
      </w:r>
      <w:proofErr w:type="gramStart"/>
      <w:r w:rsidR="005C2375" w:rsidRPr="00EF7FFE">
        <w:rPr>
          <w:rFonts w:ascii="Century Gothic" w:hAnsi="Century Gothic"/>
          <w:color w:val="000000"/>
          <w:lang w:val="en-US"/>
        </w:rPr>
        <w:t>V</w:t>
      </w:r>
      <w:r w:rsidR="001504E0" w:rsidRPr="00EF7FFE">
        <w:rPr>
          <w:rFonts w:ascii="Century Gothic" w:hAnsi="Century Gothic"/>
          <w:color w:val="000000"/>
          <w:lang w:val="en-US"/>
        </w:rPr>
        <w:t>.</w:t>
      </w:r>
      <w:r w:rsidR="005C2375" w:rsidRPr="00EF7FFE">
        <w:rPr>
          <w:rFonts w:ascii="Century Gothic" w:hAnsi="Century Gothic"/>
          <w:color w:val="000000"/>
          <w:lang w:val="en-US"/>
        </w:rPr>
        <w:t>iktor</w:t>
      </w:r>
      <w:proofErr w:type="gramEnd"/>
      <w:r w:rsidR="005C2375" w:rsidRPr="00EF7FFE">
        <w:rPr>
          <w:rFonts w:ascii="Century Gothic" w:hAnsi="Century Gothic"/>
          <w:color w:val="000000"/>
          <w:lang w:val="en-US"/>
        </w:rPr>
        <w:t xml:space="preserve"> Orbán, « Speech at the XXV </w:t>
      </w:r>
      <w:proofErr w:type="spellStart"/>
      <w:r w:rsidR="005C2375" w:rsidRPr="00EF7FFE">
        <w:rPr>
          <w:rFonts w:ascii="Century Gothic" w:hAnsi="Century Gothic"/>
          <w:color w:val="000000"/>
          <w:lang w:val="en-US"/>
        </w:rPr>
        <w:t>Bálványos</w:t>
      </w:r>
      <w:proofErr w:type="spellEnd"/>
      <w:r w:rsidR="005C2375" w:rsidRPr="00EF7FFE">
        <w:rPr>
          <w:rFonts w:ascii="Century Gothic" w:hAnsi="Century Gothic"/>
          <w:color w:val="000000"/>
          <w:lang w:val="en-US"/>
        </w:rPr>
        <w:t xml:space="preserve"> Free Summer University and Youth Camp », 26 </w:t>
      </w:r>
      <w:proofErr w:type="spellStart"/>
      <w:r w:rsidR="005C2375" w:rsidRPr="00EF7FFE">
        <w:rPr>
          <w:rFonts w:ascii="Century Gothic" w:hAnsi="Century Gothic"/>
          <w:color w:val="000000"/>
          <w:lang w:val="en-US"/>
        </w:rPr>
        <w:t>juillet</w:t>
      </w:r>
      <w:proofErr w:type="spellEnd"/>
      <w:r w:rsidR="005C2375" w:rsidRPr="00EF7FFE">
        <w:rPr>
          <w:rFonts w:ascii="Century Gothic" w:hAnsi="Century Gothic"/>
          <w:color w:val="000000"/>
          <w:lang w:val="en-US"/>
        </w:rPr>
        <w:t xml:space="preserve"> 2014.</w:t>
      </w:r>
      <w:r w:rsidR="00685E07" w:rsidRPr="00EF7FFE">
        <w:rPr>
          <w:lang w:val="en-US"/>
        </w:rPr>
        <w:t xml:space="preserve"> </w:t>
      </w:r>
      <w:hyperlink r:id="rId15" w:history="1">
        <w:r w:rsidR="00685E07" w:rsidRPr="00EF7FFE">
          <w:rPr>
            <w:rStyle w:val="Hyperlink"/>
            <w:rFonts w:ascii="Century Gothic" w:hAnsi="Century Gothic"/>
          </w:rPr>
          <w:t>https://2015-2019.kormany.hu/en/the-prime-minister/the-prime-minister-s-speeches/prime-minister-viktor-orban-s-speech-at-the-25th-balvanyos-summer-free-university-and-student-camp</w:t>
        </w:r>
      </w:hyperlink>
    </w:p>
    <w:p w14:paraId="6E6DE9A7" w14:textId="2CC1B591" w:rsidR="005C2375" w:rsidRPr="00EF7FFE" w:rsidRDefault="0020010A" w:rsidP="00685E07">
      <w:pPr>
        <w:spacing w:before="100" w:beforeAutospacing="1" w:after="100" w:afterAutospacing="1"/>
        <w:rPr>
          <w:rFonts w:ascii="Century Gothic" w:hAnsi="Century Gothic"/>
          <w:color w:val="000000"/>
        </w:rPr>
      </w:pPr>
      <w:r w:rsidRPr="00EF7FFE">
        <w:rPr>
          <w:rFonts w:ascii="Century Gothic" w:hAnsi="Century Gothic"/>
          <w:color w:val="000000"/>
          <w:lang w:val="en-US"/>
        </w:rPr>
        <w:t>6</w:t>
      </w:r>
      <w:r w:rsidR="005C2375" w:rsidRPr="00EF7FFE">
        <w:rPr>
          <w:rFonts w:ascii="Century Gothic" w:hAnsi="Century Gothic"/>
          <w:color w:val="000000"/>
          <w:lang w:val="en-US"/>
        </w:rPr>
        <w:t xml:space="preserve">Jacques </w:t>
      </w:r>
      <w:proofErr w:type="gramStart"/>
      <w:r w:rsidR="005C2375" w:rsidRPr="00EF7FFE">
        <w:rPr>
          <w:rFonts w:ascii="Century Gothic" w:hAnsi="Century Gothic"/>
          <w:color w:val="000000"/>
          <w:lang w:val="en-US"/>
        </w:rPr>
        <w:t xml:space="preserve">Rupnik, </w:t>
      </w:r>
      <w:r w:rsidR="005C2375" w:rsidRPr="00EF7FFE">
        <w:rPr>
          <w:rFonts w:ascii="Century Gothic" w:hAnsi="Century Gothic"/>
          <w:b/>
          <w:bCs/>
          <w:color w:val="000000"/>
          <w:lang w:val="en-US"/>
        </w:rPr>
        <w:t>«</w:t>
      </w:r>
      <w:proofErr w:type="gramEnd"/>
      <w:r w:rsidR="005C2375" w:rsidRPr="00EF7FFE">
        <w:rPr>
          <w:rFonts w:ascii="Century Gothic" w:hAnsi="Century Gothic"/>
          <w:b/>
          <w:bCs/>
          <w:color w:val="000000"/>
          <w:lang w:val="en-US"/>
        </w:rPr>
        <w:t xml:space="preserve"> Explaining Eastern Europe: The Crisis of Liberalism »,</w:t>
      </w:r>
      <w:r w:rsidR="005C2375" w:rsidRPr="00EF7FFE">
        <w:rPr>
          <w:rStyle w:val="apple-converted-space"/>
          <w:rFonts w:ascii="Century Gothic" w:hAnsi="Century Gothic"/>
          <w:color w:val="000000"/>
          <w:lang w:val="en-US"/>
        </w:rPr>
        <w:t> </w:t>
      </w:r>
      <w:r w:rsidR="005C2375" w:rsidRPr="00EF7FFE">
        <w:rPr>
          <w:rStyle w:val="Emphasis"/>
          <w:rFonts w:ascii="Century Gothic" w:hAnsi="Century Gothic"/>
          <w:color w:val="000000"/>
          <w:lang w:val="en-US"/>
        </w:rPr>
        <w:t>Journal of Democracy</w:t>
      </w:r>
      <w:r w:rsidR="005C2375" w:rsidRPr="00EF7FFE">
        <w:rPr>
          <w:rFonts w:ascii="Century Gothic" w:hAnsi="Century Gothic"/>
          <w:color w:val="000000"/>
          <w:lang w:val="en-US"/>
        </w:rPr>
        <w:t>, vol. 29, no 3, 2018, p. 24-38.</w:t>
      </w:r>
      <w:r w:rsidR="00685E07" w:rsidRPr="00EF7FFE">
        <w:rPr>
          <w:lang w:val="en-US"/>
        </w:rPr>
        <w:t xml:space="preserve"> </w:t>
      </w:r>
      <w:hyperlink r:id="rId16" w:history="1">
        <w:r w:rsidR="00685E07" w:rsidRPr="00EF7FFE">
          <w:rPr>
            <w:rStyle w:val="Hyperlink"/>
            <w:rFonts w:ascii="Century Gothic" w:hAnsi="Century Gothic"/>
          </w:rPr>
          <w:t>https://www.journalofdemocracy.org/articles/explaining-eastern-europe-the-crisis-of-liberalism/</w:t>
        </w:r>
      </w:hyperlink>
      <w:r w:rsidR="00685E07" w:rsidRPr="00EF7FFE">
        <w:rPr>
          <w:rFonts w:ascii="Century Gothic" w:hAnsi="Century Gothic"/>
          <w:color w:val="000000"/>
        </w:rPr>
        <w:t>) ;</w:t>
      </w:r>
    </w:p>
    <w:p w14:paraId="4454C0B1" w14:textId="474CDE0F" w:rsidR="00685E07" w:rsidRDefault="0020010A" w:rsidP="00685E07">
      <w:pPr>
        <w:spacing w:before="100" w:beforeAutospacing="1" w:after="100" w:afterAutospacing="1"/>
        <w:rPr>
          <w:rFonts w:ascii="Century Gothic" w:hAnsi="Century Gothic"/>
          <w:color w:val="000000"/>
        </w:rPr>
      </w:pPr>
      <w:r>
        <w:rPr>
          <w:rFonts w:ascii="Century Gothic" w:hAnsi="Century Gothic"/>
          <w:color w:val="000000"/>
        </w:rPr>
        <w:t>7</w:t>
      </w:r>
      <w:r w:rsidR="00685E07">
        <w:rPr>
          <w:rFonts w:ascii="Century Gothic" w:hAnsi="Century Gothic"/>
          <w:color w:val="000000"/>
        </w:rPr>
        <w:t>.</w:t>
      </w:r>
      <w:r w:rsidR="005C2375" w:rsidRPr="00685E07">
        <w:rPr>
          <w:rFonts w:ascii="Century Gothic" w:hAnsi="Century Gothic"/>
          <w:color w:val="000000"/>
        </w:rPr>
        <w:t>CJUE, grande chambre, 27 février 2018,</w:t>
      </w:r>
      <w:r w:rsidR="005C2375" w:rsidRPr="00685E07">
        <w:rPr>
          <w:rStyle w:val="apple-converted-space"/>
          <w:rFonts w:ascii="Century Gothic" w:hAnsi="Century Gothic"/>
          <w:color w:val="000000"/>
        </w:rPr>
        <w:t> </w:t>
      </w:r>
      <w:proofErr w:type="spellStart"/>
      <w:r w:rsidR="005C2375" w:rsidRPr="00685E07">
        <w:rPr>
          <w:rStyle w:val="Emphasis"/>
          <w:rFonts w:ascii="Century Gothic" w:hAnsi="Century Gothic"/>
          <w:color w:val="000000"/>
        </w:rPr>
        <w:t>Associação</w:t>
      </w:r>
      <w:proofErr w:type="spellEnd"/>
      <w:r w:rsidR="005C2375" w:rsidRPr="00685E07">
        <w:rPr>
          <w:rStyle w:val="Emphasis"/>
          <w:rFonts w:ascii="Century Gothic" w:hAnsi="Century Gothic"/>
          <w:color w:val="000000"/>
        </w:rPr>
        <w:t xml:space="preserve"> </w:t>
      </w:r>
      <w:proofErr w:type="spellStart"/>
      <w:r w:rsidR="005C2375" w:rsidRPr="00685E07">
        <w:rPr>
          <w:rStyle w:val="Emphasis"/>
          <w:rFonts w:ascii="Century Gothic" w:hAnsi="Century Gothic"/>
          <w:color w:val="000000"/>
        </w:rPr>
        <w:t>Sindical</w:t>
      </w:r>
      <w:proofErr w:type="spellEnd"/>
      <w:r w:rsidR="005C2375" w:rsidRPr="00685E07">
        <w:rPr>
          <w:rStyle w:val="Emphasis"/>
          <w:rFonts w:ascii="Century Gothic" w:hAnsi="Century Gothic"/>
          <w:color w:val="000000"/>
        </w:rPr>
        <w:t xml:space="preserve"> dos </w:t>
      </w:r>
      <w:proofErr w:type="spellStart"/>
      <w:r w:rsidR="005C2375" w:rsidRPr="00685E07">
        <w:rPr>
          <w:rStyle w:val="Emphasis"/>
          <w:rFonts w:ascii="Century Gothic" w:hAnsi="Century Gothic"/>
          <w:color w:val="000000"/>
        </w:rPr>
        <w:t>Juízes</w:t>
      </w:r>
      <w:proofErr w:type="spellEnd"/>
      <w:r w:rsidR="005C2375" w:rsidRPr="00685E07">
        <w:rPr>
          <w:rStyle w:val="Emphasis"/>
          <w:rFonts w:ascii="Century Gothic" w:hAnsi="Century Gothic"/>
          <w:color w:val="000000"/>
        </w:rPr>
        <w:t xml:space="preserve"> </w:t>
      </w:r>
      <w:proofErr w:type="spellStart"/>
      <w:r w:rsidR="005C2375" w:rsidRPr="00685E07">
        <w:rPr>
          <w:rStyle w:val="Emphasis"/>
          <w:rFonts w:ascii="Century Gothic" w:hAnsi="Century Gothic"/>
          <w:color w:val="000000"/>
        </w:rPr>
        <w:t>Portugueses</w:t>
      </w:r>
      <w:proofErr w:type="spellEnd"/>
      <w:r w:rsidR="005C2375" w:rsidRPr="00685E07">
        <w:rPr>
          <w:rFonts w:ascii="Century Gothic" w:hAnsi="Century Gothic"/>
          <w:color w:val="000000"/>
        </w:rPr>
        <w:t xml:space="preserve">, C-64/16, </w:t>
      </w:r>
      <w:proofErr w:type="gramStart"/>
      <w:r w:rsidR="005C2375" w:rsidRPr="00685E07">
        <w:rPr>
          <w:rFonts w:ascii="Century Gothic" w:hAnsi="Century Gothic"/>
          <w:color w:val="000000"/>
        </w:rPr>
        <w:t>ECLI:EU:C:2018:</w:t>
      </w:r>
      <w:proofErr w:type="gramEnd"/>
      <w:r w:rsidR="005C2375" w:rsidRPr="00685E07">
        <w:rPr>
          <w:rFonts w:ascii="Century Gothic" w:hAnsi="Century Gothic"/>
          <w:color w:val="000000"/>
        </w:rPr>
        <w:t>11</w:t>
      </w:r>
    </w:p>
    <w:p w14:paraId="5A34722B" w14:textId="60F5A165" w:rsidR="005C2375" w:rsidRPr="00685E07" w:rsidRDefault="0020010A" w:rsidP="00685E07">
      <w:pPr>
        <w:spacing w:before="100" w:beforeAutospacing="1" w:after="100" w:afterAutospacing="1"/>
        <w:jc w:val="both"/>
        <w:rPr>
          <w:rFonts w:ascii="Century Gothic" w:hAnsi="Century Gothic"/>
          <w:color w:val="000000"/>
        </w:rPr>
      </w:pPr>
      <w:r>
        <w:rPr>
          <w:rFonts w:ascii="Century Gothic" w:hAnsi="Century Gothic"/>
          <w:color w:val="000000"/>
        </w:rPr>
        <w:t>8</w:t>
      </w:r>
      <w:r w:rsidR="005C2375" w:rsidRPr="00685E07">
        <w:rPr>
          <w:rFonts w:ascii="Century Gothic" w:hAnsi="Century Gothic"/>
          <w:color w:val="000000"/>
        </w:rPr>
        <w:t>.Commission européenne, </w:t>
      </w:r>
      <w:r w:rsidR="005C2375" w:rsidRPr="00685E07">
        <w:rPr>
          <w:rFonts w:ascii="Century Gothic" w:hAnsi="Century Gothic"/>
          <w:i/>
          <w:iCs/>
          <w:color w:val="000000"/>
        </w:rPr>
        <w:t xml:space="preserve">2026 Rule of Law </w:t>
      </w:r>
      <w:proofErr w:type="gramStart"/>
      <w:r w:rsidR="005C2375" w:rsidRPr="00685E07">
        <w:rPr>
          <w:rFonts w:ascii="Century Gothic" w:hAnsi="Century Gothic"/>
          <w:i/>
          <w:iCs/>
          <w:color w:val="000000"/>
        </w:rPr>
        <w:t>Report:</w:t>
      </w:r>
      <w:proofErr w:type="gramEnd"/>
      <w:r w:rsidR="005C2375" w:rsidRPr="00685E07">
        <w:rPr>
          <w:rFonts w:ascii="Century Gothic" w:hAnsi="Century Gothic"/>
          <w:i/>
          <w:iCs/>
          <w:color w:val="000000"/>
        </w:rPr>
        <w:t xml:space="preserve"> The Rule of Law Situation in the European Union</w:t>
      </w:r>
      <w:r w:rsidR="005C2375" w:rsidRPr="00685E07">
        <w:rPr>
          <w:rFonts w:ascii="Century Gothic" w:hAnsi="Century Gothic"/>
          <w:color w:val="000000"/>
        </w:rPr>
        <w:t xml:space="preserve">, </w:t>
      </w:r>
      <w:proofErr w:type="gramStart"/>
      <w:r w:rsidR="005C2375" w:rsidRPr="00685E07">
        <w:rPr>
          <w:rFonts w:ascii="Century Gothic" w:hAnsi="Century Gothic"/>
          <w:color w:val="000000"/>
        </w:rPr>
        <w:t>COM(</w:t>
      </w:r>
      <w:proofErr w:type="gramEnd"/>
      <w:r w:rsidR="005C2375" w:rsidRPr="00685E07">
        <w:rPr>
          <w:rFonts w:ascii="Century Gothic" w:hAnsi="Century Gothic"/>
          <w:color w:val="000000"/>
        </w:rPr>
        <w:t xml:space="preserve">2026) 900 final, 17 juillet 2026, </w:t>
      </w:r>
      <w:r w:rsidR="001504E0">
        <w:rPr>
          <w:rFonts w:ascii="Century Gothic" w:hAnsi="Century Gothic"/>
          <w:color w:val="000000"/>
        </w:rPr>
        <w:t xml:space="preserve">lire les recommandations </w:t>
      </w:r>
      <w:proofErr w:type="spellStart"/>
      <w:r w:rsidR="001504E0">
        <w:rPr>
          <w:rFonts w:ascii="Century Gothic" w:hAnsi="Century Gothic"/>
          <w:color w:val="000000"/>
        </w:rPr>
        <w:t>générales</w:t>
      </w:r>
      <w:r w:rsidR="005C2375" w:rsidRPr="00685E07">
        <w:rPr>
          <w:rFonts w:ascii="Century Gothic" w:hAnsi="Century Gothic"/>
          <w:color w:val="000000"/>
        </w:rPr>
        <w:t>ainsi</w:t>
      </w:r>
      <w:proofErr w:type="spellEnd"/>
      <w:r w:rsidR="005C2375" w:rsidRPr="00685E07">
        <w:rPr>
          <w:rFonts w:ascii="Century Gothic" w:hAnsi="Century Gothic"/>
          <w:color w:val="000000"/>
        </w:rPr>
        <w:t xml:space="preserve"> que les chapitres nationaux et les recommandations par pays, </w:t>
      </w:r>
      <w:hyperlink r:id="rId17" w:tgtFrame="_new" w:history="1">
        <w:r w:rsidR="005C2375" w:rsidRPr="00685E07">
          <w:rPr>
            <w:rStyle w:val="Hyperlink"/>
            <w:rFonts w:ascii="Century Gothic" w:hAnsi="Century Gothic"/>
          </w:rPr>
          <w:t>documents disponibles sur le site de la Commission</w:t>
        </w:r>
      </w:hyperlink>
      <w:r w:rsidR="005C2375" w:rsidRPr="00685E07">
        <w:rPr>
          <w:rFonts w:ascii="Century Gothic" w:hAnsi="Century Gothic"/>
          <w:color w:val="000000"/>
        </w:rPr>
        <w:t>. Lire la communication générale, les recommandations et le chapitre consacré à votre pays d’origine.</w:t>
      </w:r>
    </w:p>
    <w:p w14:paraId="724FCC39" w14:textId="24AF73D8" w:rsidR="00685E07" w:rsidRPr="00EF7FFE" w:rsidRDefault="0020010A" w:rsidP="00685E07">
      <w:pPr>
        <w:spacing w:before="100" w:beforeAutospacing="1" w:after="100" w:afterAutospacing="1"/>
        <w:jc w:val="both"/>
        <w:rPr>
          <w:rFonts w:ascii="Century Gothic" w:hAnsi="Century Gothic"/>
          <w:color w:val="000000"/>
          <w:lang w:val="en-US"/>
        </w:rPr>
      </w:pPr>
      <w:r w:rsidRPr="00EF7FFE">
        <w:rPr>
          <w:rFonts w:ascii="Century Gothic" w:hAnsi="Century Gothic"/>
          <w:color w:val="000000"/>
          <w:lang w:val="en-US"/>
        </w:rPr>
        <w:t>9</w:t>
      </w:r>
      <w:r w:rsidR="00685E07" w:rsidRPr="00EF7FFE">
        <w:rPr>
          <w:rFonts w:ascii="-webkit-standard" w:hAnsi="-webkit-standard"/>
          <w:color w:val="000000"/>
          <w:sz w:val="27"/>
          <w:szCs w:val="27"/>
          <w:lang w:val="en-US"/>
        </w:rPr>
        <w:t xml:space="preserve"> </w:t>
      </w:r>
      <w:r w:rsidR="00685E07" w:rsidRPr="00EF7FFE">
        <w:rPr>
          <w:rFonts w:ascii="Century Gothic" w:hAnsi="Century Gothic"/>
          <w:color w:val="000000"/>
          <w:lang w:val="en-US"/>
        </w:rPr>
        <w:t>Laurent Pech, « Pangloss in Brussels: On the Commission’s 2026 Rule of Law Report », </w:t>
      </w:r>
      <w:proofErr w:type="spellStart"/>
      <w:r w:rsidR="00685E07" w:rsidRPr="00EF7FFE">
        <w:rPr>
          <w:rFonts w:ascii="Century Gothic" w:hAnsi="Century Gothic"/>
          <w:i/>
          <w:iCs/>
          <w:color w:val="000000"/>
          <w:lang w:val="en-US"/>
        </w:rPr>
        <w:t>Verfassungsblog</w:t>
      </w:r>
      <w:proofErr w:type="spellEnd"/>
      <w:r w:rsidR="00685E07" w:rsidRPr="00EF7FFE">
        <w:rPr>
          <w:rFonts w:ascii="Century Gothic" w:hAnsi="Century Gothic"/>
          <w:color w:val="000000"/>
          <w:lang w:val="en-US"/>
        </w:rPr>
        <w:t xml:space="preserve">, 31 </w:t>
      </w:r>
      <w:proofErr w:type="spellStart"/>
      <w:r w:rsidR="00685E07" w:rsidRPr="00EF7FFE">
        <w:rPr>
          <w:rFonts w:ascii="Century Gothic" w:hAnsi="Century Gothic"/>
          <w:color w:val="000000"/>
          <w:lang w:val="en-US"/>
        </w:rPr>
        <w:t>août</w:t>
      </w:r>
      <w:proofErr w:type="spellEnd"/>
      <w:r w:rsidR="00685E07" w:rsidRPr="00EF7FFE">
        <w:rPr>
          <w:rFonts w:ascii="Century Gothic" w:hAnsi="Century Gothic"/>
          <w:color w:val="000000"/>
          <w:lang w:val="en-US"/>
        </w:rPr>
        <w:t xml:space="preserve"> 2026, </w:t>
      </w:r>
      <w:hyperlink r:id="rId18" w:tgtFrame="_new" w:history="1">
        <w:r w:rsidR="00685E07" w:rsidRPr="00EF7FFE">
          <w:rPr>
            <w:rStyle w:val="Hyperlink"/>
            <w:rFonts w:ascii="Century Gothic" w:hAnsi="Century Gothic"/>
            <w:lang w:val="en-US"/>
          </w:rPr>
          <w:t xml:space="preserve">en </w:t>
        </w:r>
        <w:proofErr w:type="spellStart"/>
        <w:r w:rsidR="00685E07" w:rsidRPr="00EF7FFE">
          <w:rPr>
            <w:rStyle w:val="Hyperlink"/>
            <w:rFonts w:ascii="Century Gothic" w:hAnsi="Century Gothic"/>
            <w:lang w:val="en-US"/>
          </w:rPr>
          <w:t>ligne</w:t>
        </w:r>
        <w:proofErr w:type="spellEnd"/>
      </w:hyperlink>
      <w:r w:rsidR="00685E07" w:rsidRPr="00EF7FFE">
        <w:rPr>
          <w:rFonts w:ascii="Century Gothic" w:hAnsi="Century Gothic"/>
          <w:color w:val="000000"/>
          <w:lang w:val="en-US"/>
        </w:rPr>
        <w:t xml:space="preserve">, </w:t>
      </w:r>
      <w:proofErr w:type="gramStart"/>
      <w:r w:rsidR="00685E07" w:rsidRPr="00EF7FFE">
        <w:rPr>
          <w:rFonts w:ascii="Century Gothic" w:hAnsi="Century Gothic"/>
          <w:color w:val="000000"/>
          <w:lang w:val="en-US"/>
        </w:rPr>
        <w:t>DOI :</w:t>
      </w:r>
      <w:proofErr w:type="gramEnd"/>
      <w:r w:rsidR="00685E07" w:rsidRPr="00EF7FFE">
        <w:rPr>
          <w:rFonts w:ascii="Century Gothic" w:hAnsi="Century Gothic"/>
          <w:color w:val="000000"/>
          <w:lang w:val="en-US"/>
        </w:rPr>
        <w:t> 10.59704/91f86f5385ba1e81.</w:t>
      </w:r>
    </w:p>
    <w:p w14:paraId="399F8B72" w14:textId="77777777" w:rsidR="001E783B" w:rsidRPr="00F17CE6" w:rsidRDefault="001E783B" w:rsidP="00925254">
      <w:pPr>
        <w:jc w:val="both"/>
        <w:rPr>
          <w:rFonts w:ascii="Century Gothic" w:hAnsi="Century Gothic"/>
          <w:b/>
          <w:i/>
          <w:lang w:val="en-US"/>
        </w:rPr>
      </w:pPr>
    </w:p>
    <w:p w14:paraId="3B879188" w14:textId="5D7E25E3" w:rsidR="00AB58D9" w:rsidRPr="00EF7FFE" w:rsidRDefault="00A96412" w:rsidP="00925254">
      <w:pPr>
        <w:jc w:val="both"/>
        <w:rPr>
          <w:rFonts w:ascii="Century Gothic" w:hAnsi="Century Gothic"/>
          <w:b/>
          <w:u w:val="single"/>
          <w:lang w:val="fr-BE"/>
        </w:rPr>
      </w:pPr>
      <w:r w:rsidRPr="00EF7FFE">
        <w:rPr>
          <w:rFonts w:ascii="Century Gothic" w:hAnsi="Century Gothic"/>
          <w:b/>
          <w:u w:val="single"/>
          <w:lang w:val="fr-BE"/>
        </w:rPr>
        <w:t>3</w:t>
      </w:r>
      <w:r w:rsidR="00AB58D9" w:rsidRPr="00EF7FFE">
        <w:rPr>
          <w:rFonts w:ascii="Century Gothic" w:hAnsi="Century Gothic"/>
          <w:b/>
          <w:u w:val="single"/>
          <w:vertAlign w:val="superscript"/>
          <w:lang w:val="fr-BE"/>
        </w:rPr>
        <w:t>ème</w:t>
      </w:r>
      <w:r w:rsidR="00AB58D9" w:rsidRPr="00EF7FFE">
        <w:rPr>
          <w:rFonts w:ascii="Century Gothic" w:hAnsi="Century Gothic"/>
          <w:b/>
          <w:u w:val="single"/>
          <w:lang w:val="fr-BE"/>
        </w:rPr>
        <w:t xml:space="preserve"> semaine</w:t>
      </w:r>
      <w:r w:rsidR="00C53A4E" w:rsidRPr="00EF7FFE">
        <w:rPr>
          <w:rFonts w:ascii="Century Gothic" w:hAnsi="Century Gothic"/>
          <w:b/>
          <w:u w:val="single"/>
          <w:lang w:val="fr-BE"/>
        </w:rPr>
        <w:t xml:space="preserve"> </w:t>
      </w:r>
      <w:r w:rsidR="00C53A4E" w:rsidRPr="00C53A4E">
        <w:rPr>
          <w:rFonts w:ascii="Century Gothic" w:hAnsi="Century Gothic"/>
          <w:b/>
          <w:u w:val="single"/>
        </w:rPr>
        <w:t>Le pluralisme européen de la protection des droits fondamentaux</w:t>
      </w:r>
    </w:p>
    <w:p w14:paraId="5BCF8943" w14:textId="43D1BB16" w:rsidR="00966451" w:rsidRPr="00EF7FFE" w:rsidRDefault="00966451" w:rsidP="00925254">
      <w:pPr>
        <w:jc w:val="both"/>
        <w:rPr>
          <w:rFonts w:ascii="Century Gothic" w:hAnsi="Century Gothic"/>
          <w:b/>
          <w:u w:val="single"/>
          <w:lang w:val="fr-BE"/>
        </w:rPr>
      </w:pPr>
    </w:p>
    <w:p w14:paraId="712DF3AE" w14:textId="4A3D80A6" w:rsidR="00C53A4E" w:rsidRDefault="00C53A4E" w:rsidP="00C53A4E">
      <w:pPr>
        <w:tabs>
          <w:tab w:val="left" w:pos="1134"/>
        </w:tabs>
        <w:jc w:val="both"/>
        <w:rPr>
          <w:rFonts w:ascii="Century Gothic" w:hAnsi="Century Gothic"/>
          <w:bCs/>
        </w:rPr>
      </w:pPr>
      <w:r>
        <w:rPr>
          <w:rFonts w:ascii="Century Gothic" w:hAnsi="Century Gothic"/>
          <w:bCs/>
        </w:rPr>
        <w:t>1.</w:t>
      </w:r>
      <w:r w:rsidRPr="00C53A4E">
        <w:rPr>
          <w:rFonts w:ascii="Century Gothic" w:hAnsi="Century Gothic"/>
          <w:bCs/>
        </w:rPr>
        <w:t>La</w:t>
      </w:r>
      <w:r w:rsidR="001504E0">
        <w:rPr>
          <w:rFonts w:ascii="Century Gothic" w:hAnsi="Century Gothic"/>
          <w:bCs/>
        </w:rPr>
        <w:t xml:space="preserve"> </w:t>
      </w:r>
      <w:r w:rsidRPr="00C53A4E">
        <w:rPr>
          <w:rFonts w:ascii="Century Gothic" w:hAnsi="Century Gothic"/>
          <w:bCs/>
        </w:rPr>
        <w:t>Convention européenne des droits de l’homme, articles 1, 8 à 11, 14, 18, 32, 46 et 53.</w:t>
      </w:r>
    </w:p>
    <w:p w14:paraId="596B50C3" w14:textId="77777777" w:rsidR="00C53A4E" w:rsidRPr="00C53A4E" w:rsidRDefault="00C53A4E" w:rsidP="00C53A4E">
      <w:pPr>
        <w:tabs>
          <w:tab w:val="left" w:pos="1134"/>
        </w:tabs>
        <w:jc w:val="both"/>
        <w:rPr>
          <w:rFonts w:ascii="Century Gothic" w:hAnsi="Century Gothic"/>
          <w:bCs/>
        </w:rPr>
      </w:pPr>
    </w:p>
    <w:p w14:paraId="00855005" w14:textId="27F93717" w:rsidR="00C53A4E" w:rsidRDefault="00C53A4E" w:rsidP="00C53A4E">
      <w:pPr>
        <w:tabs>
          <w:tab w:val="left" w:pos="1134"/>
        </w:tabs>
        <w:jc w:val="both"/>
        <w:rPr>
          <w:rFonts w:ascii="Century Gothic" w:hAnsi="Century Gothic"/>
          <w:bCs/>
        </w:rPr>
      </w:pPr>
      <w:r>
        <w:rPr>
          <w:rFonts w:ascii="Century Gothic" w:hAnsi="Century Gothic"/>
          <w:bCs/>
        </w:rPr>
        <w:t>2.</w:t>
      </w:r>
      <w:r w:rsidRPr="00C53A4E">
        <w:rPr>
          <w:rFonts w:ascii="Century Gothic" w:hAnsi="Century Gothic"/>
          <w:bCs/>
        </w:rPr>
        <w:t>Charte des droits fondamentaux de l’Union européenne, notamment les articles 1, 7, 11, 20, 21, 51, 52 et 53.</w:t>
      </w:r>
    </w:p>
    <w:p w14:paraId="5847B50E" w14:textId="77777777" w:rsidR="00C53A4E" w:rsidRPr="00C53A4E" w:rsidRDefault="00C53A4E" w:rsidP="00C53A4E">
      <w:pPr>
        <w:tabs>
          <w:tab w:val="left" w:pos="1134"/>
        </w:tabs>
        <w:jc w:val="both"/>
        <w:rPr>
          <w:rFonts w:ascii="Century Gothic" w:hAnsi="Century Gothic"/>
          <w:bCs/>
        </w:rPr>
      </w:pPr>
    </w:p>
    <w:p w14:paraId="155B72F6" w14:textId="7D0330D2" w:rsidR="00C53A4E" w:rsidRDefault="00C53A4E" w:rsidP="00C53A4E">
      <w:pPr>
        <w:tabs>
          <w:tab w:val="left" w:pos="1134"/>
        </w:tabs>
        <w:jc w:val="both"/>
        <w:rPr>
          <w:rFonts w:ascii="Century Gothic" w:hAnsi="Century Gothic"/>
          <w:bCs/>
        </w:rPr>
      </w:pPr>
      <w:r>
        <w:rPr>
          <w:rFonts w:ascii="Century Gothic" w:hAnsi="Century Gothic"/>
          <w:bCs/>
        </w:rPr>
        <w:lastRenderedPageBreak/>
        <w:t>3.</w:t>
      </w:r>
      <w:r w:rsidRPr="00C53A4E">
        <w:rPr>
          <w:rFonts w:ascii="Century Gothic" w:hAnsi="Century Gothic"/>
          <w:bCs/>
        </w:rPr>
        <w:t>CJUE, grande chambre, 26 février 2013, </w:t>
      </w:r>
      <w:proofErr w:type="spellStart"/>
      <w:r w:rsidRPr="00C53A4E">
        <w:rPr>
          <w:rFonts w:ascii="Century Gothic" w:hAnsi="Century Gothic"/>
          <w:bCs/>
          <w:i/>
          <w:iCs/>
        </w:rPr>
        <w:t>Åklagaren</w:t>
      </w:r>
      <w:proofErr w:type="spellEnd"/>
      <w:r w:rsidRPr="00C53A4E">
        <w:rPr>
          <w:rFonts w:ascii="Century Gothic" w:hAnsi="Century Gothic"/>
          <w:bCs/>
          <w:i/>
          <w:iCs/>
        </w:rPr>
        <w:t xml:space="preserve"> c. Hans Åkerberg Fransson</w:t>
      </w:r>
      <w:r w:rsidRPr="00C53A4E">
        <w:rPr>
          <w:rFonts w:ascii="Century Gothic" w:hAnsi="Century Gothic"/>
          <w:bCs/>
        </w:rPr>
        <w:t>, C-617/10.</w:t>
      </w:r>
    </w:p>
    <w:p w14:paraId="7275A868" w14:textId="77777777" w:rsidR="00C53A4E" w:rsidRPr="00C53A4E" w:rsidRDefault="00C53A4E" w:rsidP="00C53A4E">
      <w:pPr>
        <w:tabs>
          <w:tab w:val="left" w:pos="1134"/>
        </w:tabs>
        <w:jc w:val="both"/>
        <w:rPr>
          <w:rFonts w:ascii="Century Gothic" w:hAnsi="Century Gothic"/>
          <w:bCs/>
        </w:rPr>
      </w:pPr>
    </w:p>
    <w:p w14:paraId="7056021C" w14:textId="6969972C" w:rsidR="00C53A4E" w:rsidRDefault="00C53A4E" w:rsidP="00C53A4E">
      <w:pPr>
        <w:tabs>
          <w:tab w:val="left" w:pos="1134"/>
        </w:tabs>
        <w:jc w:val="both"/>
        <w:rPr>
          <w:rFonts w:ascii="Century Gothic" w:hAnsi="Century Gothic"/>
          <w:bCs/>
        </w:rPr>
      </w:pPr>
      <w:r>
        <w:rPr>
          <w:rFonts w:ascii="Century Gothic" w:hAnsi="Century Gothic"/>
          <w:bCs/>
        </w:rPr>
        <w:t>4.</w:t>
      </w:r>
      <w:r w:rsidRPr="00C53A4E">
        <w:rPr>
          <w:rFonts w:ascii="Century Gothic" w:hAnsi="Century Gothic"/>
          <w:bCs/>
        </w:rPr>
        <w:t>Cour EDH, grande chambre, 30 juin 2005, </w:t>
      </w:r>
      <w:r w:rsidRPr="00C53A4E">
        <w:rPr>
          <w:rFonts w:ascii="Century Gothic" w:hAnsi="Century Gothic"/>
          <w:bCs/>
          <w:i/>
          <w:iCs/>
        </w:rPr>
        <w:t xml:space="preserve">Bosphorus Hava Yolları Turizm </w:t>
      </w:r>
      <w:proofErr w:type="spellStart"/>
      <w:r w:rsidRPr="00C53A4E">
        <w:rPr>
          <w:rFonts w:ascii="Century Gothic" w:hAnsi="Century Gothic"/>
          <w:bCs/>
          <w:i/>
          <w:iCs/>
        </w:rPr>
        <w:t>ve</w:t>
      </w:r>
      <w:proofErr w:type="spellEnd"/>
      <w:r w:rsidRPr="00C53A4E">
        <w:rPr>
          <w:rFonts w:ascii="Century Gothic" w:hAnsi="Century Gothic"/>
          <w:bCs/>
          <w:i/>
          <w:iCs/>
        </w:rPr>
        <w:t xml:space="preserve"> </w:t>
      </w:r>
      <w:proofErr w:type="spellStart"/>
      <w:r w:rsidRPr="00C53A4E">
        <w:rPr>
          <w:rFonts w:ascii="Century Gothic" w:hAnsi="Century Gothic"/>
          <w:bCs/>
          <w:i/>
          <w:iCs/>
        </w:rPr>
        <w:t>Ticaret</w:t>
      </w:r>
      <w:proofErr w:type="spellEnd"/>
      <w:r w:rsidRPr="00C53A4E">
        <w:rPr>
          <w:rFonts w:ascii="Century Gothic" w:hAnsi="Century Gothic"/>
          <w:bCs/>
          <w:i/>
          <w:iCs/>
        </w:rPr>
        <w:t xml:space="preserve"> </w:t>
      </w:r>
      <w:proofErr w:type="spellStart"/>
      <w:r w:rsidRPr="00C53A4E">
        <w:rPr>
          <w:rFonts w:ascii="Century Gothic" w:hAnsi="Century Gothic"/>
          <w:bCs/>
          <w:i/>
          <w:iCs/>
        </w:rPr>
        <w:t>Anonim</w:t>
      </w:r>
      <w:proofErr w:type="spellEnd"/>
      <w:r w:rsidRPr="00C53A4E">
        <w:rPr>
          <w:rFonts w:ascii="Century Gothic" w:hAnsi="Century Gothic"/>
          <w:bCs/>
          <w:i/>
          <w:iCs/>
        </w:rPr>
        <w:t xml:space="preserve"> Şirketi c. Irlande</w:t>
      </w:r>
      <w:r w:rsidRPr="00C53A4E">
        <w:rPr>
          <w:rFonts w:ascii="Century Gothic" w:hAnsi="Century Gothic"/>
          <w:bCs/>
        </w:rPr>
        <w:t>, no 45036/98.</w:t>
      </w:r>
    </w:p>
    <w:p w14:paraId="4421B50E" w14:textId="77777777" w:rsidR="00C53A4E" w:rsidRPr="00C53A4E" w:rsidRDefault="00C53A4E" w:rsidP="00C53A4E">
      <w:pPr>
        <w:tabs>
          <w:tab w:val="left" w:pos="1134"/>
        </w:tabs>
        <w:jc w:val="both"/>
        <w:rPr>
          <w:rFonts w:ascii="Century Gothic" w:hAnsi="Century Gothic"/>
          <w:bCs/>
        </w:rPr>
      </w:pPr>
    </w:p>
    <w:p w14:paraId="2387ECB2" w14:textId="77777777" w:rsidR="00C53A4E" w:rsidRPr="00EF7FFE" w:rsidRDefault="00C53A4E" w:rsidP="00C53A4E">
      <w:pPr>
        <w:tabs>
          <w:tab w:val="left" w:pos="1134"/>
        </w:tabs>
        <w:jc w:val="both"/>
        <w:rPr>
          <w:rFonts w:ascii="Century Gothic" w:hAnsi="Century Gothic"/>
          <w:bCs/>
          <w:lang w:val="en-US"/>
        </w:rPr>
      </w:pPr>
      <w:r w:rsidRPr="00EF7FFE">
        <w:rPr>
          <w:rFonts w:ascii="Century Gothic" w:hAnsi="Century Gothic"/>
          <w:bCs/>
          <w:lang w:val="en-US"/>
        </w:rPr>
        <w:t>5.European Parliament Research Service, </w:t>
      </w:r>
      <w:r w:rsidRPr="00EF7FFE">
        <w:rPr>
          <w:rFonts w:ascii="Century Gothic" w:hAnsi="Century Gothic"/>
          <w:bCs/>
          <w:i/>
          <w:iCs/>
          <w:lang w:val="en-US"/>
        </w:rPr>
        <w:t>EU Accession to the European Convention on Human Rights</w:t>
      </w:r>
      <w:r w:rsidRPr="00EF7FFE">
        <w:rPr>
          <w:rFonts w:ascii="Century Gothic" w:hAnsi="Century Gothic"/>
          <w:bCs/>
          <w:lang w:val="en-US"/>
        </w:rPr>
        <w:t xml:space="preserve">, </w:t>
      </w:r>
      <w:proofErr w:type="spellStart"/>
      <w:r w:rsidRPr="00EF7FFE">
        <w:rPr>
          <w:rFonts w:ascii="Century Gothic" w:hAnsi="Century Gothic"/>
          <w:bCs/>
          <w:lang w:val="en-US"/>
        </w:rPr>
        <w:t>mai</w:t>
      </w:r>
      <w:proofErr w:type="spellEnd"/>
      <w:r w:rsidRPr="00EF7FFE">
        <w:rPr>
          <w:rFonts w:ascii="Century Gothic" w:hAnsi="Century Gothic"/>
          <w:bCs/>
          <w:lang w:val="en-US"/>
        </w:rPr>
        <w:t xml:space="preserve"> 2026, </w:t>
      </w:r>
      <w:hyperlink r:id="rId19" w:tgtFrame="_new" w:history="1">
        <w:r w:rsidRPr="00EF7FFE">
          <w:rPr>
            <w:rStyle w:val="Hyperlink"/>
            <w:rFonts w:ascii="Century Gothic" w:hAnsi="Century Gothic"/>
            <w:bCs/>
            <w:lang w:val="en-US"/>
          </w:rPr>
          <w:t xml:space="preserve">en </w:t>
        </w:r>
        <w:proofErr w:type="spellStart"/>
        <w:r w:rsidRPr="00EF7FFE">
          <w:rPr>
            <w:rStyle w:val="Hyperlink"/>
            <w:rFonts w:ascii="Century Gothic" w:hAnsi="Century Gothic"/>
            <w:bCs/>
            <w:lang w:val="en-US"/>
          </w:rPr>
          <w:t>ligne</w:t>
        </w:r>
        <w:proofErr w:type="spellEnd"/>
      </w:hyperlink>
      <w:r w:rsidRPr="00EF7FFE">
        <w:rPr>
          <w:rFonts w:ascii="Century Gothic" w:hAnsi="Century Gothic"/>
          <w:bCs/>
          <w:lang w:val="en-US"/>
        </w:rPr>
        <w:t xml:space="preserve">. </w:t>
      </w:r>
    </w:p>
    <w:p w14:paraId="543E9D64" w14:textId="77777777" w:rsidR="00CB7C86" w:rsidRPr="00EF7FFE" w:rsidRDefault="00CB7C86" w:rsidP="00CB7C86">
      <w:pPr>
        <w:pStyle w:val="ListParagraph"/>
        <w:rPr>
          <w:lang w:val="en-US"/>
        </w:rPr>
      </w:pPr>
    </w:p>
    <w:p w14:paraId="74E8CBE5" w14:textId="77777777" w:rsidR="00CB7C86" w:rsidRPr="00EF7FFE" w:rsidRDefault="00CB7C86" w:rsidP="00DB0B82">
      <w:pPr>
        <w:pStyle w:val="ListParagraph"/>
        <w:tabs>
          <w:tab w:val="left" w:pos="567"/>
          <w:tab w:val="left" w:pos="1134"/>
        </w:tabs>
        <w:jc w:val="both"/>
        <w:rPr>
          <w:lang w:val="en-US"/>
        </w:rPr>
      </w:pPr>
    </w:p>
    <w:p w14:paraId="4757B040" w14:textId="77777777" w:rsidR="003F74B8" w:rsidRPr="00EF7FFE" w:rsidRDefault="003F74B8" w:rsidP="003F74B8">
      <w:pPr>
        <w:tabs>
          <w:tab w:val="left" w:pos="567"/>
          <w:tab w:val="left" w:pos="1134"/>
        </w:tabs>
        <w:jc w:val="both"/>
        <w:rPr>
          <w:rFonts w:ascii="Century Gothic" w:hAnsi="Century Gothic"/>
          <w:lang w:val="en-US"/>
        </w:rPr>
      </w:pPr>
    </w:p>
    <w:p w14:paraId="3395F6DA" w14:textId="119B3257" w:rsidR="00C53A4E" w:rsidRDefault="000A04CC" w:rsidP="00C53A4E">
      <w:pPr>
        <w:tabs>
          <w:tab w:val="left" w:pos="567"/>
          <w:tab w:val="left" w:pos="1134"/>
        </w:tabs>
        <w:jc w:val="both"/>
        <w:rPr>
          <w:rFonts w:ascii="Century Gothic" w:hAnsi="Century Gothic"/>
          <w:b/>
          <w:u w:val="single"/>
        </w:rPr>
      </w:pPr>
      <w:r w:rsidRPr="003F74B8">
        <w:rPr>
          <w:rFonts w:ascii="Century Gothic" w:hAnsi="Century Gothic"/>
          <w:b/>
          <w:u w:val="single"/>
        </w:rPr>
        <w:t>4</w:t>
      </w:r>
      <w:r w:rsidR="00E9496E" w:rsidRPr="003F74B8">
        <w:rPr>
          <w:rFonts w:ascii="Century Gothic" w:hAnsi="Century Gothic"/>
          <w:b/>
          <w:u w:val="single"/>
          <w:vertAlign w:val="superscript"/>
        </w:rPr>
        <w:t>ème</w:t>
      </w:r>
      <w:r w:rsidR="00BB3EA2" w:rsidRPr="003F74B8">
        <w:rPr>
          <w:rFonts w:ascii="Century Gothic" w:hAnsi="Century Gothic"/>
          <w:b/>
          <w:u w:val="single"/>
        </w:rPr>
        <w:t xml:space="preserve"> semaine</w:t>
      </w:r>
      <w:r w:rsidR="00C53A4E">
        <w:rPr>
          <w:rFonts w:ascii="Century Gothic" w:hAnsi="Century Gothic"/>
          <w:b/>
          <w:u w:val="single"/>
        </w:rPr>
        <w:t xml:space="preserve"> </w:t>
      </w:r>
      <w:r w:rsidR="0020010A" w:rsidRPr="0020010A">
        <w:rPr>
          <w:rFonts w:ascii="Century Gothic" w:hAnsi="Century Gothic"/>
          <w:b/>
          <w:u w:val="single"/>
        </w:rPr>
        <w:t>Les contestations de la protection européenne des droits de l’homme</w:t>
      </w:r>
    </w:p>
    <w:p w14:paraId="3DFE64F3" w14:textId="77777777" w:rsidR="00A05E70" w:rsidRPr="005477C1" w:rsidRDefault="00A05E70" w:rsidP="00C53A4E">
      <w:pPr>
        <w:tabs>
          <w:tab w:val="left" w:pos="567"/>
          <w:tab w:val="left" w:pos="1134"/>
        </w:tabs>
        <w:jc w:val="both"/>
        <w:rPr>
          <w:rFonts w:ascii="Century Gothic" w:hAnsi="Century Gothic"/>
          <w:bCs/>
          <w:u w:val="single"/>
        </w:rPr>
      </w:pPr>
    </w:p>
    <w:p w14:paraId="21A5DAA2" w14:textId="4AF62B9C" w:rsidR="005477C1" w:rsidRPr="00EF7FFE" w:rsidRDefault="005477C1" w:rsidP="00C53A4E">
      <w:pPr>
        <w:tabs>
          <w:tab w:val="left" w:pos="567"/>
          <w:tab w:val="left" w:pos="1134"/>
        </w:tabs>
        <w:jc w:val="both"/>
        <w:rPr>
          <w:rFonts w:ascii="Century Gothic" w:hAnsi="Century Gothic"/>
          <w:bCs/>
          <w:u w:val="single"/>
          <w:lang w:val="en-US"/>
        </w:rPr>
      </w:pPr>
      <w:r w:rsidRPr="00EF7FFE">
        <w:rPr>
          <w:rFonts w:ascii="Century Gothic" w:hAnsi="Century Gothic"/>
          <w:bCs/>
          <w:u w:val="single"/>
          <w:lang w:val="en-US"/>
        </w:rPr>
        <w:t xml:space="preserve">-Makau </w:t>
      </w:r>
      <w:proofErr w:type="gramStart"/>
      <w:r w:rsidRPr="00EF7FFE">
        <w:rPr>
          <w:rFonts w:ascii="Century Gothic" w:hAnsi="Century Gothic"/>
          <w:bCs/>
          <w:u w:val="single"/>
          <w:lang w:val="en-US"/>
        </w:rPr>
        <w:t>Mutua, «</w:t>
      </w:r>
      <w:proofErr w:type="gramEnd"/>
      <w:r w:rsidRPr="00EF7FFE">
        <w:rPr>
          <w:rFonts w:ascii="Century Gothic" w:hAnsi="Century Gothic"/>
          <w:bCs/>
          <w:u w:val="single"/>
          <w:lang w:val="en-US"/>
        </w:rPr>
        <w:t xml:space="preserve"> </w:t>
      </w:r>
      <w:r w:rsidRPr="00EF7FFE">
        <w:rPr>
          <w:rFonts w:ascii="Century Gothic" w:hAnsi="Century Gothic"/>
          <w:bCs/>
          <w:i/>
          <w:iCs/>
          <w:u w:val="single"/>
          <w:lang w:val="en-US"/>
        </w:rPr>
        <w:t>Savages, Victims, and Saviors: The Metaphor of Human Rights</w:t>
      </w:r>
      <w:r w:rsidRPr="00EF7FFE">
        <w:rPr>
          <w:rFonts w:ascii="Century Gothic" w:hAnsi="Century Gothic"/>
          <w:bCs/>
          <w:u w:val="single"/>
          <w:lang w:val="en-US"/>
        </w:rPr>
        <w:t xml:space="preserve"> », </w:t>
      </w:r>
      <w:r w:rsidRPr="00EF7FFE">
        <w:rPr>
          <w:rFonts w:ascii="Century Gothic" w:hAnsi="Century Gothic"/>
          <w:bCs/>
          <w:i/>
          <w:iCs/>
          <w:u w:val="single"/>
          <w:lang w:val="en-US"/>
        </w:rPr>
        <w:t>Harvard International Law Journal</w:t>
      </w:r>
      <w:r w:rsidRPr="00EF7FFE">
        <w:rPr>
          <w:rFonts w:ascii="Century Gothic" w:hAnsi="Century Gothic"/>
          <w:bCs/>
          <w:u w:val="single"/>
          <w:lang w:val="en-US"/>
        </w:rPr>
        <w:t>, vol. 42, no 1, 2001, p. 201-245, </w:t>
      </w:r>
      <w:proofErr w:type="spellStart"/>
      <w:r>
        <w:fldChar w:fldCharType="begin"/>
      </w:r>
      <w:r w:rsidRPr="00EF7FFE">
        <w:rPr>
          <w:lang w:val="en-US"/>
        </w:rPr>
        <w:instrText>HYPERLINK "https://digitalcommons.law.buffalo.edu/journal_articles/570/?utm_source=chatgpt.com" \t "_new"</w:instrText>
      </w:r>
      <w:r>
        <w:fldChar w:fldCharType="separate"/>
      </w:r>
      <w:r w:rsidRPr="00EF7FFE">
        <w:rPr>
          <w:rStyle w:val="Hyperlink"/>
          <w:rFonts w:ascii="Century Gothic" w:hAnsi="Century Gothic"/>
          <w:bCs/>
          <w:lang w:val="en-US"/>
        </w:rPr>
        <w:t>texte</w:t>
      </w:r>
      <w:proofErr w:type="spellEnd"/>
      <w:r w:rsidRPr="00EF7FFE">
        <w:rPr>
          <w:rStyle w:val="Hyperlink"/>
          <w:rFonts w:ascii="Century Gothic" w:hAnsi="Century Gothic"/>
          <w:bCs/>
          <w:lang w:val="en-US"/>
        </w:rPr>
        <w:t xml:space="preserve"> en </w:t>
      </w:r>
      <w:proofErr w:type="spellStart"/>
      <w:r w:rsidRPr="00EF7FFE">
        <w:rPr>
          <w:rStyle w:val="Hyperlink"/>
          <w:rFonts w:ascii="Century Gothic" w:hAnsi="Century Gothic"/>
          <w:bCs/>
          <w:lang w:val="en-US"/>
        </w:rPr>
        <w:t>accès</w:t>
      </w:r>
      <w:proofErr w:type="spellEnd"/>
      <w:r w:rsidRPr="00EF7FFE">
        <w:rPr>
          <w:rStyle w:val="Hyperlink"/>
          <w:rFonts w:ascii="Century Gothic" w:hAnsi="Century Gothic"/>
          <w:bCs/>
          <w:lang w:val="en-US"/>
        </w:rPr>
        <w:t xml:space="preserve"> libre</w:t>
      </w:r>
      <w:r>
        <w:fldChar w:fldCharType="end"/>
      </w:r>
      <w:r w:rsidRPr="00EF7FFE">
        <w:rPr>
          <w:rFonts w:ascii="Century Gothic" w:hAnsi="Century Gothic"/>
          <w:bCs/>
          <w:u w:val="single"/>
          <w:lang w:val="en-US"/>
        </w:rPr>
        <w:t>.</w:t>
      </w:r>
    </w:p>
    <w:p w14:paraId="624F6336" w14:textId="77777777" w:rsidR="00A05E70" w:rsidRPr="00EF7FFE" w:rsidRDefault="00A05E70" w:rsidP="00C53A4E">
      <w:pPr>
        <w:tabs>
          <w:tab w:val="left" w:pos="567"/>
          <w:tab w:val="left" w:pos="1134"/>
        </w:tabs>
        <w:jc w:val="both"/>
        <w:rPr>
          <w:rFonts w:ascii="Century Gothic" w:hAnsi="Century Gothic"/>
          <w:bCs/>
          <w:u w:val="single"/>
          <w:lang w:val="en-US"/>
        </w:rPr>
      </w:pPr>
    </w:p>
    <w:p w14:paraId="26A13B46" w14:textId="06DDBD67" w:rsidR="00C53A4E" w:rsidRPr="005477C1" w:rsidRDefault="005477C1" w:rsidP="0020010A">
      <w:pPr>
        <w:tabs>
          <w:tab w:val="left" w:pos="567"/>
          <w:tab w:val="left" w:pos="1134"/>
        </w:tabs>
        <w:jc w:val="both"/>
        <w:rPr>
          <w:rFonts w:ascii="Century Gothic" w:hAnsi="Century Gothic"/>
          <w:bCs/>
          <w:u w:val="single"/>
        </w:rPr>
      </w:pPr>
      <w:r w:rsidRPr="005477C1">
        <w:rPr>
          <w:rFonts w:ascii="Century Gothic" w:hAnsi="Century Gothic"/>
          <w:bCs/>
          <w:u w:val="single"/>
        </w:rPr>
        <w:t>2</w:t>
      </w:r>
      <w:r w:rsidR="002D7F8F" w:rsidRPr="005477C1">
        <w:rPr>
          <w:rFonts w:ascii="Century Gothic" w:hAnsi="Century Gothic"/>
          <w:bCs/>
          <w:u w:val="single"/>
        </w:rPr>
        <w:t>.</w:t>
      </w:r>
      <w:r w:rsidR="00C53A4E" w:rsidRPr="005477C1">
        <w:rPr>
          <w:rFonts w:ascii="Century Gothic" w:hAnsi="Century Gothic"/>
          <w:bCs/>
          <w:u w:val="single"/>
        </w:rPr>
        <w:t>Conférence de haut niveau, </w:t>
      </w:r>
      <w:r w:rsidR="00C53A4E" w:rsidRPr="005477C1">
        <w:rPr>
          <w:rFonts w:ascii="Century Gothic" w:hAnsi="Century Gothic"/>
          <w:bCs/>
          <w:i/>
          <w:iCs/>
          <w:u w:val="single"/>
        </w:rPr>
        <w:t>Déclaration de Copenhague</w:t>
      </w:r>
      <w:r w:rsidR="00C53A4E" w:rsidRPr="005477C1">
        <w:rPr>
          <w:rFonts w:ascii="Century Gothic" w:hAnsi="Century Gothic"/>
          <w:bCs/>
          <w:u w:val="single"/>
        </w:rPr>
        <w:t>, 13 avril 2018, passages relatifs à la responsabilité partagée, au dialogue avec la Cour et à l’indépendance de celle-ci.</w:t>
      </w:r>
      <w:r w:rsidR="001D39E9" w:rsidRPr="005477C1">
        <w:rPr>
          <w:rFonts w:ascii="Century Gothic" w:hAnsi="Century Gothic"/>
          <w:bCs/>
          <w:u w:val="single"/>
        </w:rPr>
        <w:t xml:space="preserve"> </w:t>
      </w:r>
      <w:hyperlink r:id="rId20" w:history="1">
        <w:r w:rsidR="001D39E9" w:rsidRPr="005477C1">
          <w:rPr>
            <w:rStyle w:val="Hyperlink"/>
            <w:rFonts w:ascii="Century Gothic" w:hAnsi="Century Gothic"/>
            <w:bCs/>
          </w:rPr>
          <w:t>https://rm.coe.int/copenhagen-declaration/16807b915c</w:t>
        </w:r>
      </w:hyperlink>
    </w:p>
    <w:p w14:paraId="71E1E1B5" w14:textId="77777777" w:rsidR="001D39E9" w:rsidRPr="005477C1" w:rsidRDefault="001D39E9" w:rsidP="0020010A">
      <w:pPr>
        <w:tabs>
          <w:tab w:val="left" w:pos="567"/>
          <w:tab w:val="left" w:pos="1134"/>
        </w:tabs>
        <w:jc w:val="both"/>
        <w:rPr>
          <w:rFonts w:ascii="Century Gothic" w:hAnsi="Century Gothic"/>
          <w:bCs/>
          <w:u w:val="single"/>
        </w:rPr>
      </w:pPr>
    </w:p>
    <w:p w14:paraId="7668BC1E" w14:textId="3CE22431" w:rsidR="001D39E9" w:rsidRPr="00EF7FFE" w:rsidRDefault="005477C1" w:rsidP="0020010A">
      <w:pPr>
        <w:tabs>
          <w:tab w:val="left" w:pos="567"/>
          <w:tab w:val="left" w:pos="1134"/>
        </w:tabs>
        <w:jc w:val="both"/>
        <w:rPr>
          <w:rFonts w:ascii="Century Gothic" w:hAnsi="Century Gothic"/>
          <w:bCs/>
          <w:u w:val="single"/>
          <w:lang w:val="en-US"/>
        </w:rPr>
      </w:pPr>
      <w:r w:rsidRPr="00EF7FFE">
        <w:rPr>
          <w:rFonts w:ascii="Century Gothic" w:hAnsi="Century Gothic"/>
          <w:bCs/>
          <w:u w:val="single"/>
          <w:lang w:val="en-US"/>
        </w:rPr>
        <w:t>3</w:t>
      </w:r>
      <w:r w:rsidR="001D39E9" w:rsidRPr="00EF7FFE">
        <w:rPr>
          <w:rFonts w:ascii="Century Gothic" w:hAnsi="Century Gothic"/>
          <w:bCs/>
          <w:u w:val="single"/>
          <w:lang w:val="en-US"/>
        </w:rPr>
        <w:t xml:space="preserve">. Commissioner for human </w:t>
      </w:r>
      <w:proofErr w:type="spellStart"/>
      <w:proofErr w:type="gramStart"/>
      <w:r w:rsidR="001D39E9" w:rsidRPr="00EF7FFE">
        <w:rPr>
          <w:rFonts w:ascii="Century Gothic" w:hAnsi="Century Gothic"/>
          <w:bCs/>
          <w:u w:val="single"/>
          <w:lang w:val="en-US"/>
        </w:rPr>
        <w:t>Rihts,Refute</w:t>
      </w:r>
      <w:proofErr w:type="spellEnd"/>
      <w:proofErr w:type="gramEnd"/>
      <w:r w:rsidR="001D39E9" w:rsidRPr="00EF7FFE">
        <w:rPr>
          <w:rFonts w:ascii="Century Gothic" w:hAnsi="Century Gothic"/>
          <w:bCs/>
          <w:u w:val="single"/>
          <w:lang w:val="en-US"/>
        </w:rPr>
        <w:t xml:space="preserve"> the Critics,</w:t>
      </w:r>
      <w:r w:rsidR="001D39E9" w:rsidRPr="00EF7FFE">
        <w:rPr>
          <w:rFonts w:ascii="Open Sans" w:hAnsi="Open Sans" w:cs="Open Sans"/>
          <w:bCs/>
          <w:color w:val="161616"/>
          <w:sz w:val="66"/>
          <w:szCs w:val="66"/>
          <w:shd w:val="clear" w:color="auto" w:fill="FFFFFF"/>
          <w:lang w:val="en-US"/>
        </w:rPr>
        <w:t xml:space="preserve"> </w:t>
      </w:r>
      <w:r w:rsidR="001D39E9" w:rsidRPr="00EF7FFE">
        <w:rPr>
          <w:rFonts w:ascii="Century Gothic" w:hAnsi="Century Gothic"/>
          <w:bCs/>
          <w:u w:val="single"/>
          <w:lang w:val="en-US"/>
        </w:rPr>
        <w:t xml:space="preserve">Human rights are Europe’s greatest strategic asset, </w:t>
      </w:r>
      <w:hyperlink r:id="rId21" w:history="1">
        <w:r w:rsidR="001D39E9" w:rsidRPr="00EF7FFE">
          <w:rPr>
            <w:rStyle w:val="Hyperlink"/>
            <w:rFonts w:ascii="Century Gothic" w:hAnsi="Century Gothic"/>
            <w:bCs/>
            <w:lang w:val="en-US"/>
          </w:rPr>
          <w:t>https://www.coe.int/en/web/commissioner/-/refute-the-critics-human-rights-are-europe-s-greatest-strategic-asset</w:t>
        </w:r>
      </w:hyperlink>
    </w:p>
    <w:p w14:paraId="50007A40" w14:textId="77777777" w:rsidR="0020010A" w:rsidRPr="00EF7FFE" w:rsidRDefault="0020010A" w:rsidP="0020010A">
      <w:pPr>
        <w:tabs>
          <w:tab w:val="left" w:pos="567"/>
          <w:tab w:val="left" w:pos="1134"/>
        </w:tabs>
        <w:jc w:val="both"/>
        <w:rPr>
          <w:rFonts w:ascii="Century Gothic" w:hAnsi="Century Gothic"/>
          <w:bCs/>
          <w:u w:val="single"/>
          <w:lang w:val="en-US"/>
        </w:rPr>
      </w:pPr>
    </w:p>
    <w:p w14:paraId="474C88A8" w14:textId="0E707B6D" w:rsidR="00C53A4E" w:rsidRPr="00EF7FFE" w:rsidRDefault="005477C1" w:rsidP="0020010A">
      <w:pPr>
        <w:tabs>
          <w:tab w:val="left" w:pos="567"/>
          <w:tab w:val="left" w:pos="1134"/>
        </w:tabs>
        <w:jc w:val="both"/>
        <w:rPr>
          <w:rFonts w:ascii="Century Gothic" w:hAnsi="Century Gothic"/>
          <w:bCs/>
          <w:u w:val="single"/>
          <w:lang w:val="en-US"/>
        </w:rPr>
      </w:pPr>
      <w:r w:rsidRPr="005477C1">
        <w:rPr>
          <w:rFonts w:ascii="Century Gothic" w:hAnsi="Century Gothic"/>
          <w:bCs/>
          <w:u w:val="single"/>
        </w:rPr>
        <w:t>4</w:t>
      </w:r>
      <w:r w:rsidR="0020010A" w:rsidRPr="005477C1">
        <w:rPr>
          <w:rFonts w:ascii="Century Gothic" w:hAnsi="Century Gothic"/>
          <w:bCs/>
          <w:u w:val="single"/>
        </w:rPr>
        <w:t>.</w:t>
      </w:r>
      <w:r w:rsidR="00C53A4E" w:rsidRPr="005477C1">
        <w:rPr>
          <w:rFonts w:ascii="Century Gothic" w:hAnsi="Century Gothic"/>
          <w:bCs/>
          <w:u w:val="single"/>
        </w:rPr>
        <w:t>Lettre ouverte de neuf chefs de gouvernement sur la manière dont la Cour européenne interprète la Convention dans le domaine migratoire, 22 mai 2025.</w:t>
      </w:r>
      <w:r w:rsidR="002D7F8F" w:rsidRPr="005477C1">
        <w:rPr>
          <w:rFonts w:ascii="Century Gothic" w:hAnsi="Century Gothic"/>
          <w:bCs/>
          <w:u w:val="single"/>
        </w:rPr>
        <w:t xml:space="preserve"> </w:t>
      </w:r>
      <w:r w:rsidR="002D7F8F" w:rsidRPr="00EF7FFE">
        <w:rPr>
          <w:rFonts w:ascii="Century Gothic" w:hAnsi="Century Gothic"/>
          <w:bCs/>
          <w:u w:val="single"/>
          <w:lang w:val="en-US"/>
        </w:rPr>
        <w:t>Cf Antoine Buyse, « Nine States Call for “Open-Minded Conversation” on ECHR and Migration », </w:t>
      </w:r>
      <w:r w:rsidR="002D7F8F" w:rsidRPr="00EF7FFE">
        <w:rPr>
          <w:rFonts w:ascii="Century Gothic" w:hAnsi="Century Gothic"/>
          <w:bCs/>
          <w:i/>
          <w:iCs/>
          <w:u w:val="single"/>
          <w:lang w:val="en-US"/>
        </w:rPr>
        <w:t>ECHR Blog</w:t>
      </w:r>
      <w:r w:rsidR="002D7F8F" w:rsidRPr="00EF7FFE">
        <w:rPr>
          <w:rFonts w:ascii="Century Gothic" w:hAnsi="Century Gothic"/>
          <w:bCs/>
          <w:u w:val="single"/>
          <w:lang w:val="en-US"/>
        </w:rPr>
        <w:t xml:space="preserve">, 23 </w:t>
      </w:r>
      <w:proofErr w:type="spellStart"/>
      <w:r w:rsidR="002D7F8F" w:rsidRPr="00EF7FFE">
        <w:rPr>
          <w:rFonts w:ascii="Century Gothic" w:hAnsi="Century Gothic"/>
          <w:bCs/>
          <w:u w:val="single"/>
          <w:lang w:val="en-US"/>
        </w:rPr>
        <w:t>mai</w:t>
      </w:r>
      <w:proofErr w:type="spellEnd"/>
      <w:r w:rsidR="002D7F8F" w:rsidRPr="00EF7FFE">
        <w:rPr>
          <w:rFonts w:ascii="Century Gothic" w:hAnsi="Century Gothic"/>
          <w:bCs/>
          <w:u w:val="single"/>
          <w:lang w:val="en-US"/>
        </w:rPr>
        <w:t xml:space="preserve"> 2025, </w:t>
      </w:r>
      <w:hyperlink r:id="rId22" w:tgtFrame="_new" w:history="1">
        <w:r w:rsidR="002D7F8F" w:rsidRPr="00EF7FFE">
          <w:rPr>
            <w:rStyle w:val="Hyperlink"/>
            <w:rFonts w:ascii="Century Gothic" w:hAnsi="Century Gothic"/>
            <w:bCs/>
            <w:lang w:val="en-US"/>
          </w:rPr>
          <w:t xml:space="preserve">en </w:t>
        </w:r>
        <w:proofErr w:type="spellStart"/>
        <w:r w:rsidR="002D7F8F" w:rsidRPr="00EF7FFE">
          <w:rPr>
            <w:rStyle w:val="Hyperlink"/>
            <w:rFonts w:ascii="Century Gothic" w:hAnsi="Century Gothic"/>
            <w:bCs/>
            <w:lang w:val="en-US"/>
          </w:rPr>
          <w:t>ligne</w:t>
        </w:r>
        <w:proofErr w:type="spellEnd"/>
      </w:hyperlink>
      <w:r w:rsidR="002D7F8F" w:rsidRPr="00EF7FFE">
        <w:rPr>
          <w:rFonts w:ascii="Century Gothic" w:hAnsi="Century Gothic"/>
          <w:bCs/>
          <w:u w:val="single"/>
          <w:lang w:val="en-US"/>
        </w:rPr>
        <w:t>.</w:t>
      </w:r>
    </w:p>
    <w:p w14:paraId="2E5C9CEB" w14:textId="77777777" w:rsidR="0020010A" w:rsidRPr="00EF7FFE" w:rsidRDefault="0020010A" w:rsidP="0020010A">
      <w:pPr>
        <w:tabs>
          <w:tab w:val="left" w:pos="567"/>
          <w:tab w:val="left" w:pos="1134"/>
        </w:tabs>
        <w:jc w:val="both"/>
        <w:rPr>
          <w:rFonts w:ascii="Century Gothic" w:hAnsi="Century Gothic"/>
          <w:bCs/>
          <w:u w:val="single"/>
          <w:lang w:val="en-US"/>
        </w:rPr>
      </w:pPr>
    </w:p>
    <w:p w14:paraId="5E238041" w14:textId="6BB52FB1" w:rsidR="00C53A4E" w:rsidRPr="005477C1" w:rsidRDefault="005477C1" w:rsidP="0020010A">
      <w:pPr>
        <w:tabs>
          <w:tab w:val="left" w:pos="567"/>
          <w:tab w:val="left" w:pos="1134"/>
        </w:tabs>
        <w:jc w:val="both"/>
        <w:rPr>
          <w:rFonts w:ascii="Century Gothic" w:hAnsi="Century Gothic"/>
          <w:bCs/>
          <w:u w:val="single"/>
        </w:rPr>
      </w:pPr>
      <w:r w:rsidRPr="005477C1">
        <w:rPr>
          <w:rFonts w:ascii="Century Gothic" w:hAnsi="Century Gothic"/>
          <w:bCs/>
          <w:u w:val="single"/>
        </w:rPr>
        <w:t>5</w:t>
      </w:r>
      <w:r w:rsidR="0020010A" w:rsidRPr="005477C1">
        <w:rPr>
          <w:rFonts w:ascii="Century Gothic" w:hAnsi="Century Gothic"/>
          <w:bCs/>
          <w:u w:val="single"/>
        </w:rPr>
        <w:t>.</w:t>
      </w:r>
      <w:r w:rsidR="00C53A4E" w:rsidRPr="005477C1">
        <w:rPr>
          <w:rFonts w:ascii="Century Gothic" w:hAnsi="Century Gothic"/>
          <w:bCs/>
          <w:u w:val="single"/>
        </w:rPr>
        <w:t>Comité des ministres du Conseil de l’Europe, </w:t>
      </w:r>
      <w:r w:rsidR="00C53A4E" w:rsidRPr="005477C1">
        <w:rPr>
          <w:rFonts w:ascii="Century Gothic" w:hAnsi="Century Gothic"/>
          <w:bCs/>
          <w:i/>
          <w:iCs/>
          <w:u w:val="single"/>
        </w:rPr>
        <w:t>Déclaration de Chi</w:t>
      </w:r>
      <w:r w:rsidR="00C53A4E" w:rsidRPr="005477C1">
        <w:rPr>
          <w:rFonts w:ascii="Calibri" w:hAnsi="Calibri" w:cs="Calibri"/>
          <w:bCs/>
          <w:i/>
          <w:iCs/>
          <w:u w:val="single"/>
        </w:rPr>
        <w:t>ș</w:t>
      </w:r>
      <w:r w:rsidR="00C53A4E" w:rsidRPr="005477C1">
        <w:rPr>
          <w:rFonts w:ascii="Century Gothic" w:hAnsi="Century Gothic"/>
          <w:bCs/>
          <w:i/>
          <w:iCs/>
          <w:u w:val="single"/>
        </w:rPr>
        <w:t>inău sur la Convention européenne des droits de l’homme dans le contexte migratoire</w:t>
      </w:r>
      <w:r w:rsidR="00C53A4E" w:rsidRPr="005477C1">
        <w:rPr>
          <w:rFonts w:ascii="Century Gothic" w:hAnsi="Century Gothic"/>
          <w:bCs/>
          <w:u w:val="single"/>
        </w:rPr>
        <w:t xml:space="preserve">, 15 mai 2026. </w:t>
      </w:r>
      <w:hyperlink r:id="rId23" w:history="1">
        <w:r w:rsidR="00A05E70" w:rsidRPr="005477C1">
          <w:rPr>
            <w:rStyle w:val="Hyperlink"/>
            <w:rFonts w:ascii="Century Gothic" w:hAnsi="Century Gothic"/>
            <w:bCs/>
          </w:rPr>
          <w:t>https://rm.coe.int/pdf/09125948802bc2cc</w:t>
        </w:r>
      </w:hyperlink>
    </w:p>
    <w:p w14:paraId="4CF06B31" w14:textId="77777777" w:rsidR="0020010A" w:rsidRPr="005477C1" w:rsidRDefault="0020010A" w:rsidP="0020010A">
      <w:pPr>
        <w:tabs>
          <w:tab w:val="left" w:pos="567"/>
          <w:tab w:val="left" w:pos="1134"/>
        </w:tabs>
        <w:jc w:val="both"/>
        <w:rPr>
          <w:rFonts w:ascii="Century Gothic" w:hAnsi="Century Gothic"/>
          <w:bCs/>
          <w:u w:val="single"/>
        </w:rPr>
      </w:pPr>
    </w:p>
    <w:p w14:paraId="12FC14AF" w14:textId="61FB9AF9" w:rsidR="00C53A4E" w:rsidRPr="005477C1" w:rsidRDefault="005477C1" w:rsidP="0020010A">
      <w:pPr>
        <w:tabs>
          <w:tab w:val="left" w:pos="567"/>
          <w:tab w:val="left" w:pos="1134"/>
        </w:tabs>
        <w:jc w:val="both"/>
        <w:rPr>
          <w:rFonts w:ascii="Century Gothic" w:hAnsi="Century Gothic"/>
          <w:bCs/>
          <w:u w:val="single"/>
        </w:rPr>
      </w:pPr>
      <w:r w:rsidRPr="005477C1">
        <w:rPr>
          <w:rFonts w:ascii="Century Gothic" w:hAnsi="Century Gothic"/>
          <w:bCs/>
          <w:u w:val="single"/>
        </w:rPr>
        <w:t>6</w:t>
      </w:r>
      <w:r w:rsidR="0020010A" w:rsidRPr="005477C1">
        <w:rPr>
          <w:rFonts w:ascii="Century Gothic" w:hAnsi="Century Gothic"/>
          <w:bCs/>
          <w:u w:val="single"/>
        </w:rPr>
        <w:t>.</w:t>
      </w:r>
      <w:r w:rsidR="002D7F8F" w:rsidRPr="005477C1">
        <w:rPr>
          <w:rFonts w:ascii="Century Gothic" w:hAnsi="Century Gothic"/>
          <w:bCs/>
          <w:u w:val="single"/>
        </w:rPr>
        <w:t xml:space="preserve">Commissaire aux droits de l’homme du Conseil de l’Europe, « </w:t>
      </w:r>
      <w:proofErr w:type="spellStart"/>
      <w:r w:rsidR="002D7F8F" w:rsidRPr="005477C1">
        <w:rPr>
          <w:rFonts w:ascii="Century Gothic" w:hAnsi="Century Gothic"/>
          <w:bCs/>
          <w:u w:val="single"/>
        </w:rPr>
        <w:t>Attacks</w:t>
      </w:r>
      <w:proofErr w:type="spellEnd"/>
      <w:r w:rsidR="002D7F8F" w:rsidRPr="005477C1">
        <w:rPr>
          <w:rFonts w:ascii="Century Gothic" w:hAnsi="Century Gothic"/>
          <w:bCs/>
          <w:u w:val="single"/>
        </w:rPr>
        <w:t xml:space="preserve"> on the Human Rights of Migrants Put All Our Rights at Risk », 16 juin 2025, </w:t>
      </w:r>
      <w:hyperlink r:id="rId24" w:tgtFrame="_new" w:history="1">
        <w:r w:rsidR="002D7F8F" w:rsidRPr="005477C1">
          <w:rPr>
            <w:rStyle w:val="Hyperlink"/>
            <w:rFonts w:ascii="Century Gothic" w:hAnsi="Century Gothic"/>
            <w:bCs/>
          </w:rPr>
          <w:t>en ligne sur le site officiel du Conseil de l’Europe</w:t>
        </w:r>
      </w:hyperlink>
      <w:r w:rsidR="002D7F8F" w:rsidRPr="005477C1">
        <w:rPr>
          <w:rFonts w:ascii="Century Gothic" w:hAnsi="Century Gothic"/>
          <w:bCs/>
          <w:u w:val="single"/>
        </w:rPr>
        <w:t>.</w:t>
      </w:r>
    </w:p>
    <w:p w14:paraId="5C7C7433" w14:textId="77777777" w:rsidR="0020010A" w:rsidRPr="005477C1" w:rsidRDefault="0020010A" w:rsidP="0020010A">
      <w:pPr>
        <w:tabs>
          <w:tab w:val="left" w:pos="567"/>
          <w:tab w:val="left" w:pos="1134"/>
        </w:tabs>
        <w:jc w:val="both"/>
        <w:rPr>
          <w:rFonts w:ascii="Century Gothic" w:hAnsi="Century Gothic"/>
          <w:bCs/>
          <w:u w:val="single"/>
        </w:rPr>
      </w:pPr>
    </w:p>
    <w:p w14:paraId="6BB23398" w14:textId="77777777" w:rsidR="00C53A4E" w:rsidRPr="005477C1" w:rsidRDefault="00C53A4E" w:rsidP="00C53A4E">
      <w:pPr>
        <w:tabs>
          <w:tab w:val="left" w:pos="567"/>
          <w:tab w:val="left" w:pos="1134"/>
        </w:tabs>
        <w:jc w:val="both"/>
        <w:rPr>
          <w:rFonts w:ascii="Century Gothic" w:hAnsi="Century Gothic"/>
          <w:bCs/>
          <w:u w:val="single"/>
        </w:rPr>
      </w:pPr>
      <w:r w:rsidRPr="005477C1">
        <w:rPr>
          <w:rFonts w:ascii="Century Gothic" w:hAnsi="Century Gothic"/>
          <w:bCs/>
          <w:u w:val="single"/>
        </w:rPr>
        <w:t>Lectures complémentaires présentant des appréciations opposées</w:t>
      </w:r>
    </w:p>
    <w:p w14:paraId="2D1CB9E8" w14:textId="77777777" w:rsidR="0020010A" w:rsidRPr="005477C1" w:rsidRDefault="0020010A" w:rsidP="00C53A4E">
      <w:pPr>
        <w:tabs>
          <w:tab w:val="left" w:pos="567"/>
          <w:tab w:val="left" w:pos="1134"/>
        </w:tabs>
        <w:jc w:val="both"/>
        <w:rPr>
          <w:rFonts w:ascii="Century Gothic" w:hAnsi="Century Gothic"/>
          <w:bCs/>
          <w:u w:val="single"/>
        </w:rPr>
      </w:pPr>
    </w:p>
    <w:p w14:paraId="2E724D00" w14:textId="5413A858" w:rsidR="00C53A4E" w:rsidRPr="005477C1" w:rsidRDefault="0020010A" w:rsidP="0020010A">
      <w:pPr>
        <w:tabs>
          <w:tab w:val="left" w:pos="567"/>
          <w:tab w:val="left" w:pos="1134"/>
        </w:tabs>
        <w:jc w:val="both"/>
        <w:rPr>
          <w:rFonts w:ascii="Century Gothic" w:hAnsi="Century Gothic"/>
          <w:bCs/>
          <w:u w:val="single"/>
        </w:rPr>
      </w:pPr>
      <w:r w:rsidRPr="00EF7FFE">
        <w:rPr>
          <w:rFonts w:ascii="Century Gothic" w:hAnsi="Century Gothic"/>
          <w:bCs/>
          <w:u w:val="single"/>
          <w:lang w:val="en-US"/>
        </w:rPr>
        <w:t>-A</w:t>
      </w:r>
      <w:r w:rsidR="00C53A4E" w:rsidRPr="00EF7FFE">
        <w:rPr>
          <w:rFonts w:ascii="Century Gothic" w:hAnsi="Century Gothic"/>
          <w:bCs/>
          <w:u w:val="single"/>
          <w:lang w:val="en-US"/>
        </w:rPr>
        <w:t>lice Donald, « Will the Chi</w:t>
      </w:r>
      <w:r w:rsidR="00C53A4E" w:rsidRPr="00EF7FFE">
        <w:rPr>
          <w:rFonts w:ascii="Calibri" w:hAnsi="Calibri" w:cs="Calibri"/>
          <w:bCs/>
          <w:u w:val="single"/>
          <w:lang w:val="en-US"/>
        </w:rPr>
        <w:t>ș</w:t>
      </w:r>
      <w:r w:rsidR="00C53A4E" w:rsidRPr="00EF7FFE">
        <w:rPr>
          <w:rFonts w:ascii="Century Gothic" w:hAnsi="Century Gothic"/>
          <w:bCs/>
          <w:u w:val="single"/>
          <w:lang w:val="en-US"/>
        </w:rPr>
        <w:t xml:space="preserve">inău Declaration on the ECHR and Migration Make Any Difference? », 28 </w:t>
      </w:r>
      <w:proofErr w:type="spellStart"/>
      <w:r w:rsidR="00C53A4E" w:rsidRPr="00EF7FFE">
        <w:rPr>
          <w:rFonts w:ascii="Century Gothic" w:hAnsi="Century Gothic"/>
          <w:bCs/>
          <w:u w:val="single"/>
          <w:lang w:val="en-US"/>
        </w:rPr>
        <w:t>mai</w:t>
      </w:r>
      <w:proofErr w:type="spellEnd"/>
      <w:r w:rsidR="00C53A4E" w:rsidRPr="00EF7FFE">
        <w:rPr>
          <w:rFonts w:ascii="Century Gothic" w:hAnsi="Century Gothic"/>
          <w:bCs/>
          <w:u w:val="single"/>
          <w:lang w:val="en-US"/>
        </w:rPr>
        <w:t xml:space="preserve"> 2026. </w:t>
      </w:r>
      <w:hyperlink r:id="rId25" w:tgtFrame="_new" w:history="1">
        <w:r w:rsidR="00C53A4E" w:rsidRPr="005477C1">
          <w:rPr>
            <w:rStyle w:val="Hyperlink"/>
            <w:rFonts w:ascii="Century Gothic" w:hAnsi="Century Gothic"/>
            <w:bCs/>
          </w:rPr>
          <w:t>Analyse</w:t>
        </w:r>
      </w:hyperlink>
    </w:p>
    <w:p w14:paraId="7200B95C" w14:textId="0D01DC9C" w:rsidR="00C53A4E" w:rsidRPr="00EF7FFE" w:rsidRDefault="0020010A" w:rsidP="0020010A">
      <w:pPr>
        <w:tabs>
          <w:tab w:val="left" w:pos="567"/>
          <w:tab w:val="left" w:pos="1134"/>
        </w:tabs>
        <w:jc w:val="both"/>
        <w:rPr>
          <w:rFonts w:ascii="Century Gothic" w:hAnsi="Century Gothic"/>
          <w:bCs/>
          <w:u w:val="single"/>
          <w:lang w:val="en-US"/>
        </w:rPr>
      </w:pPr>
      <w:r w:rsidRPr="00EF7FFE">
        <w:rPr>
          <w:rFonts w:ascii="Century Gothic" w:hAnsi="Century Gothic"/>
          <w:bCs/>
          <w:u w:val="single"/>
          <w:lang w:val="en-US"/>
        </w:rPr>
        <w:t>-</w:t>
      </w:r>
      <w:r w:rsidR="00C53A4E" w:rsidRPr="00EF7FFE">
        <w:rPr>
          <w:rFonts w:ascii="Century Gothic" w:hAnsi="Century Gothic"/>
          <w:bCs/>
          <w:u w:val="single"/>
          <w:lang w:val="en-US"/>
        </w:rPr>
        <w:t>Daniel Thym, « The Chi</w:t>
      </w:r>
      <w:r w:rsidR="00C53A4E" w:rsidRPr="00EF7FFE">
        <w:rPr>
          <w:rFonts w:ascii="Calibri" w:hAnsi="Calibri" w:cs="Calibri"/>
          <w:bCs/>
          <w:u w:val="single"/>
          <w:lang w:val="en-US"/>
        </w:rPr>
        <w:t>ș</w:t>
      </w:r>
      <w:r w:rsidR="00C53A4E" w:rsidRPr="00EF7FFE">
        <w:rPr>
          <w:rFonts w:ascii="Century Gothic" w:hAnsi="Century Gothic"/>
          <w:bCs/>
          <w:u w:val="single"/>
          <w:lang w:val="en-US"/>
        </w:rPr>
        <w:t>inău Declaration: A Human Rights Shift in Migration? », 2026. </w:t>
      </w:r>
      <w:proofErr w:type="spellStart"/>
      <w:r w:rsidR="00C53A4E">
        <w:fldChar w:fldCharType="begin"/>
      </w:r>
      <w:r w:rsidR="00C53A4E" w:rsidRPr="00EF7FFE">
        <w:rPr>
          <w:lang w:val="en-US"/>
        </w:rPr>
        <w:instrText>HYPERLINK "https://www.kas.de/en/analysen-und-argumente/detail/-/content/the-chisinau-declaration?utm_source=chatgpt.com" \t "_new"</w:instrText>
      </w:r>
      <w:r w:rsidR="00C53A4E">
        <w:fldChar w:fldCharType="separate"/>
      </w:r>
      <w:r w:rsidR="00C53A4E" w:rsidRPr="00EF7FFE">
        <w:rPr>
          <w:rStyle w:val="Hyperlink"/>
          <w:rFonts w:ascii="Century Gothic" w:hAnsi="Century Gothic"/>
          <w:bCs/>
          <w:lang w:val="en-US"/>
        </w:rPr>
        <w:t>Analyse</w:t>
      </w:r>
      <w:proofErr w:type="spellEnd"/>
      <w:r w:rsidR="00C53A4E">
        <w:fldChar w:fldCharType="end"/>
      </w:r>
    </w:p>
    <w:p w14:paraId="20D3FFC0" w14:textId="449A320C" w:rsidR="00C53A4E" w:rsidRPr="005477C1" w:rsidRDefault="0020010A" w:rsidP="0020010A">
      <w:pPr>
        <w:tabs>
          <w:tab w:val="left" w:pos="567"/>
          <w:tab w:val="left" w:pos="1134"/>
        </w:tabs>
        <w:jc w:val="both"/>
        <w:rPr>
          <w:rFonts w:ascii="Century Gothic" w:hAnsi="Century Gothic"/>
          <w:bCs/>
          <w:u w:val="single"/>
        </w:rPr>
      </w:pPr>
      <w:r w:rsidRPr="00EF7FFE">
        <w:rPr>
          <w:rFonts w:ascii="Century Gothic" w:hAnsi="Century Gothic"/>
          <w:bCs/>
          <w:u w:val="single"/>
          <w:lang w:val="en-US"/>
        </w:rPr>
        <w:lastRenderedPageBreak/>
        <w:t>-</w:t>
      </w:r>
      <w:r w:rsidR="00C53A4E" w:rsidRPr="00EF7FFE">
        <w:rPr>
          <w:rFonts w:ascii="Century Gothic" w:hAnsi="Century Gothic"/>
          <w:bCs/>
          <w:u w:val="single"/>
          <w:lang w:val="en-US"/>
        </w:rPr>
        <w:t xml:space="preserve">Amnesty International, « Council of Europe Declaration on Migration Paves Way for a Two-Tier Human Rights System », 22 </w:t>
      </w:r>
      <w:proofErr w:type="spellStart"/>
      <w:r w:rsidR="00C53A4E" w:rsidRPr="00EF7FFE">
        <w:rPr>
          <w:rFonts w:ascii="Century Gothic" w:hAnsi="Century Gothic"/>
          <w:bCs/>
          <w:u w:val="single"/>
          <w:lang w:val="en-US"/>
        </w:rPr>
        <w:t>mai</w:t>
      </w:r>
      <w:proofErr w:type="spellEnd"/>
      <w:r w:rsidR="00C53A4E" w:rsidRPr="00EF7FFE">
        <w:rPr>
          <w:rFonts w:ascii="Century Gothic" w:hAnsi="Century Gothic"/>
          <w:bCs/>
          <w:u w:val="single"/>
          <w:lang w:val="en-US"/>
        </w:rPr>
        <w:t xml:space="preserve"> 2026. </w:t>
      </w:r>
      <w:hyperlink r:id="rId26" w:tgtFrame="_new" w:history="1">
        <w:r w:rsidR="00C53A4E" w:rsidRPr="005477C1">
          <w:rPr>
            <w:rStyle w:val="Hyperlink"/>
            <w:rFonts w:ascii="Century Gothic" w:hAnsi="Century Gothic"/>
            <w:bCs/>
          </w:rPr>
          <w:t>Analyse critique</w:t>
        </w:r>
      </w:hyperlink>
    </w:p>
    <w:p w14:paraId="2EC3CCDC" w14:textId="4AEB1B37" w:rsidR="00C53A4E" w:rsidRPr="005477C1" w:rsidRDefault="0020010A" w:rsidP="0020010A">
      <w:pPr>
        <w:tabs>
          <w:tab w:val="left" w:pos="567"/>
          <w:tab w:val="left" w:pos="1134"/>
        </w:tabs>
        <w:jc w:val="both"/>
        <w:rPr>
          <w:rFonts w:ascii="Century Gothic" w:hAnsi="Century Gothic"/>
          <w:bCs/>
          <w:u w:val="single"/>
        </w:rPr>
      </w:pPr>
      <w:r w:rsidRPr="005477C1">
        <w:rPr>
          <w:rFonts w:ascii="Century Gothic" w:hAnsi="Century Gothic"/>
          <w:bCs/>
          <w:u w:val="single"/>
        </w:rPr>
        <w:t>-</w:t>
      </w:r>
      <w:r w:rsidR="00C53A4E" w:rsidRPr="005477C1">
        <w:rPr>
          <w:rFonts w:ascii="Century Gothic" w:hAnsi="Century Gothic"/>
          <w:bCs/>
          <w:u w:val="single"/>
        </w:rPr>
        <w:t xml:space="preserve">Haut-Commissariat des Nations Unies aux droits de l’homme, « </w:t>
      </w:r>
      <w:proofErr w:type="spellStart"/>
      <w:r w:rsidR="00C53A4E" w:rsidRPr="005477C1">
        <w:rPr>
          <w:rFonts w:ascii="Century Gothic" w:hAnsi="Century Gothic"/>
          <w:bCs/>
          <w:u w:val="single"/>
        </w:rPr>
        <w:t>Chi</w:t>
      </w:r>
      <w:r w:rsidR="00C53A4E" w:rsidRPr="005477C1">
        <w:rPr>
          <w:rFonts w:ascii="Calibri" w:hAnsi="Calibri" w:cs="Calibri"/>
          <w:bCs/>
          <w:u w:val="single"/>
        </w:rPr>
        <w:t>ș</w:t>
      </w:r>
      <w:r w:rsidR="00C53A4E" w:rsidRPr="005477C1">
        <w:rPr>
          <w:rFonts w:ascii="Century Gothic" w:hAnsi="Century Gothic"/>
          <w:bCs/>
          <w:u w:val="single"/>
        </w:rPr>
        <w:t>inău</w:t>
      </w:r>
      <w:proofErr w:type="spellEnd"/>
      <w:r w:rsidR="00C53A4E" w:rsidRPr="005477C1">
        <w:rPr>
          <w:rFonts w:ascii="Century Gothic" w:hAnsi="Century Gothic"/>
          <w:bCs/>
          <w:u w:val="single"/>
        </w:rPr>
        <w:t xml:space="preserve"> </w:t>
      </w:r>
      <w:proofErr w:type="spellStart"/>
      <w:r w:rsidR="00C53A4E" w:rsidRPr="005477C1">
        <w:rPr>
          <w:rFonts w:ascii="Century Gothic" w:hAnsi="Century Gothic"/>
          <w:bCs/>
          <w:u w:val="single"/>
        </w:rPr>
        <w:t>Declaration</w:t>
      </w:r>
      <w:proofErr w:type="spellEnd"/>
      <w:r w:rsidR="00C53A4E" w:rsidRPr="005477C1">
        <w:rPr>
          <w:rFonts w:ascii="Century Gothic" w:hAnsi="Century Gothic"/>
          <w:bCs/>
          <w:u w:val="single"/>
        </w:rPr>
        <w:t xml:space="preserve"> Risks </w:t>
      </w:r>
      <w:proofErr w:type="spellStart"/>
      <w:r w:rsidR="00C53A4E" w:rsidRPr="005477C1">
        <w:rPr>
          <w:rFonts w:ascii="Century Gothic" w:hAnsi="Century Gothic"/>
          <w:bCs/>
          <w:u w:val="single"/>
        </w:rPr>
        <w:t>Weakening</w:t>
      </w:r>
      <w:proofErr w:type="spellEnd"/>
      <w:r w:rsidR="00C53A4E" w:rsidRPr="005477C1">
        <w:rPr>
          <w:rFonts w:ascii="Century Gothic" w:hAnsi="Century Gothic"/>
          <w:bCs/>
          <w:u w:val="single"/>
        </w:rPr>
        <w:t xml:space="preserve"> Protections for Migrants », 9 juin 2026. </w:t>
      </w:r>
      <w:hyperlink r:id="rId27" w:tgtFrame="_new" w:history="1">
        <w:r w:rsidR="00C53A4E" w:rsidRPr="005477C1">
          <w:rPr>
            <w:rStyle w:val="Hyperlink"/>
            <w:rFonts w:ascii="Century Gothic" w:hAnsi="Century Gothic"/>
            <w:bCs/>
          </w:rPr>
          <w:t>Communiqué</w:t>
        </w:r>
      </w:hyperlink>
    </w:p>
    <w:p w14:paraId="15594988" w14:textId="2896E7C5" w:rsidR="00E9496E" w:rsidRPr="005477C1" w:rsidRDefault="00E9496E" w:rsidP="003F74B8">
      <w:pPr>
        <w:tabs>
          <w:tab w:val="left" w:pos="567"/>
          <w:tab w:val="left" w:pos="1134"/>
        </w:tabs>
        <w:jc w:val="both"/>
        <w:rPr>
          <w:rFonts w:ascii="Century Gothic" w:hAnsi="Century Gothic"/>
          <w:bCs/>
        </w:rPr>
      </w:pPr>
    </w:p>
    <w:p w14:paraId="24A17CB3" w14:textId="49F48CF8" w:rsidR="00235FD9" w:rsidRPr="0020010A" w:rsidRDefault="00235FD9" w:rsidP="00925254">
      <w:pPr>
        <w:tabs>
          <w:tab w:val="left" w:pos="1134"/>
        </w:tabs>
        <w:spacing w:after="160" w:line="259" w:lineRule="auto"/>
        <w:jc w:val="both"/>
        <w:rPr>
          <w:rFonts w:ascii="Century Gothic" w:hAnsi="Century Gothic"/>
          <w:bCs/>
        </w:rPr>
      </w:pPr>
    </w:p>
    <w:sectPr w:rsidR="00235FD9" w:rsidRPr="0020010A" w:rsidSect="00966451">
      <w:footerReference w:type="default" r:id="rId2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9726E" w14:textId="77777777" w:rsidR="00BC3D89" w:rsidRDefault="00BC3D89" w:rsidP="009C6968">
      <w:r>
        <w:separator/>
      </w:r>
    </w:p>
  </w:endnote>
  <w:endnote w:type="continuationSeparator" w:id="0">
    <w:p w14:paraId="3AA88079" w14:textId="77777777" w:rsidR="00BC3D89" w:rsidRDefault="00BC3D89" w:rsidP="009C6968">
      <w:r>
        <w:continuationSeparator/>
      </w:r>
    </w:p>
  </w:endnote>
  <w:endnote w:type="continuationNotice" w:id="1">
    <w:p w14:paraId="037DF2A8" w14:textId="77777777" w:rsidR="00BC3D89" w:rsidRDefault="00BC3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0000000000000000000"/>
    <w:charset w:val="00"/>
    <w:family w:val="roman"/>
    <w:notTrueType/>
    <w:pitch w:val="default"/>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051948"/>
      <w:docPartObj>
        <w:docPartGallery w:val="Page Numbers (Bottom of Page)"/>
        <w:docPartUnique/>
      </w:docPartObj>
    </w:sdtPr>
    <w:sdtEndPr>
      <w:rPr>
        <w:noProof/>
      </w:rPr>
    </w:sdtEndPr>
    <w:sdtContent>
      <w:p w14:paraId="0C4B9419" w14:textId="425AA9D6" w:rsidR="009C6968" w:rsidRDefault="009C69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D41B2D" w14:textId="77777777" w:rsidR="009C6968" w:rsidRDefault="009C6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374E5" w14:textId="77777777" w:rsidR="00BC3D89" w:rsidRDefault="00BC3D89" w:rsidP="009C6968">
      <w:r>
        <w:separator/>
      </w:r>
    </w:p>
  </w:footnote>
  <w:footnote w:type="continuationSeparator" w:id="0">
    <w:p w14:paraId="0D77F280" w14:textId="77777777" w:rsidR="00BC3D89" w:rsidRDefault="00BC3D89" w:rsidP="009C6968">
      <w:r>
        <w:continuationSeparator/>
      </w:r>
    </w:p>
  </w:footnote>
  <w:footnote w:type="continuationNotice" w:id="1">
    <w:p w14:paraId="609F4082" w14:textId="77777777" w:rsidR="00BC3D89" w:rsidRDefault="00BC3D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0782"/>
    <w:multiLevelType w:val="hybridMultilevel"/>
    <w:tmpl w:val="6750C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30515"/>
    <w:multiLevelType w:val="hybridMultilevel"/>
    <w:tmpl w:val="54A25E8E"/>
    <w:lvl w:ilvl="0" w:tplc="E65E3AC2">
      <w:start w:val="1"/>
      <w:numFmt w:val="decimal"/>
      <w:lvlText w:val="%1."/>
      <w:lvlJc w:val="left"/>
      <w:pPr>
        <w:ind w:left="1004" w:hanging="720"/>
      </w:pPr>
      <w:rPr>
        <w:rFonts w:hint="default"/>
        <w:b w:val="0"/>
        <w:color w:val="000000" w:themeColor="text1"/>
      </w:rPr>
    </w:lvl>
    <w:lvl w:ilvl="1" w:tplc="30EA08D4">
      <w:start w:val="1"/>
      <w:numFmt w:val="decimal"/>
      <w:lvlText w:val="%2."/>
      <w:lvlJc w:val="left"/>
      <w:pPr>
        <w:ind w:left="1440" w:hanging="360"/>
      </w:pPr>
      <w:rPr>
        <w:rFonts w:hint="default"/>
        <w:b w:val="0"/>
      </w:rPr>
    </w:lvl>
    <w:lvl w:ilvl="2" w:tplc="8D5EC048">
      <w:start w:val="2"/>
      <w:numFmt w:val="bullet"/>
      <w:lvlText w:val="-"/>
      <w:lvlJc w:val="left"/>
      <w:pPr>
        <w:ind w:left="2340" w:hanging="360"/>
      </w:pPr>
      <w:rPr>
        <w:rFonts w:ascii="Century Gothic" w:eastAsiaTheme="minorHAnsi" w:hAnsi="Century Gothic" w:cstheme="minorBidi"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97140A"/>
    <w:multiLevelType w:val="hybridMultilevel"/>
    <w:tmpl w:val="02024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3A09D8"/>
    <w:multiLevelType w:val="multilevel"/>
    <w:tmpl w:val="ABBA9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F96221"/>
    <w:multiLevelType w:val="hybridMultilevel"/>
    <w:tmpl w:val="23F270BC"/>
    <w:lvl w:ilvl="0" w:tplc="665C777C">
      <w:start w:val="1"/>
      <w:numFmt w:val="decimal"/>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923F68"/>
    <w:multiLevelType w:val="hybridMultilevel"/>
    <w:tmpl w:val="6BD654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20D3E38"/>
    <w:multiLevelType w:val="multilevel"/>
    <w:tmpl w:val="4058E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B56D62"/>
    <w:multiLevelType w:val="hybridMultilevel"/>
    <w:tmpl w:val="75220442"/>
    <w:lvl w:ilvl="0" w:tplc="040C000F">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2F14B3F"/>
    <w:multiLevelType w:val="multilevel"/>
    <w:tmpl w:val="DE6C8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B11FFB"/>
    <w:multiLevelType w:val="multilevel"/>
    <w:tmpl w:val="3F56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3E6E32"/>
    <w:multiLevelType w:val="hybridMultilevel"/>
    <w:tmpl w:val="A89838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34C658C"/>
    <w:multiLevelType w:val="hybridMultilevel"/>
    <w:tmpl w:val="82DCC210"/>
    <w:lvl w:ilvl="0" w:tplc="63949F80">
      <w:start w:val="1"/>
      <w:numFmt w:val="decimal"/>
      <w:lvlText w:val="%1."/>
      <w:lvlJc w:val="left"/>
      <w:pPr>
        <w:ind w:left="720" w:hanging="360"/>
      </w:pPr>
      <w:rPr>
        <w:b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764492"/>
    <w:multiLevelType w:val="hybridMultilevel"/>
    <w:tmpl w:val="EC809C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B766C2"/>
    <w:multiLevelType w:val="multilevel"/>
    <w:tmpl w:val="C0481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F54F08"/>
    <w:multiLevelType w:val="hybridMultilevel"/>
    <w:tmpl w:val="432EA0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0E6328F"/>
    <w:multiLevelType w:val="multilevel"/>
    <w:tmpl w:val="96129D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700828"/>
    <w:multiLevelType w:val="multilevel"/>
    <w:tmpl w:val="E956433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A7415"/>
    <w:multiLevelType w:val="hybridMultilevel"/>
    <w:tmpl w:val="A3F6A8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0045B2"/>
    <w:multiLevelType w:val="hybridMultilevel"/>
    <w:tmpl w:val="3E409A06"/>
    <w:lvl w:ilvl="0" w:tplc="040C000F">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3333F70"/>
    <w:multiLevelType w:val="multilevel"/>
    <w:tmpl w:val="FE38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26785F"/>
    <w:multiLevelType w:val="hybridMultilevel"/>
    <w:tmpl w:val="F2C619C4"/>
    <w:lvl w:ilvl="0" w:tplc="DA104B5E">
      <w:start w:val="1"/>
      <w:numFmt w:val="decimal"/>
      <w:lvlText w:val="%1."/>
      <w:lvlJc w:val="left"/>
      <w:pPr>
        <w:ind w:left="720" w:hanging="360"/>
      </w:pPr>
      <w:rPr>
        <w:rFonts w:hint="default"/>
        <w:b w:val="0"/>
        <w:lang w:val="en-GB"/>
      </w:rPr>
    </w:lvl>
    <w:lvl w:ilvl="1" w:tplc="30EA08D4">
      <w:start w:val="1"/>
      <w:numFmt w:val="decimal"/>
      <w:lvlText w:val="%2."/>
      <w:lvlJc w:val="left"/>
      <w:pPr>
        <w:ind w:left="360" w:hanging="360"/>
      </w:pPr>
      <w:rPr>
        <w:rFonts w:hint="default"/>
        <w:b w:val="0"/>
      </w:rPr>
    </w:lvl>
    <w:lvl w:ilvl="2" w:tplc="8D5EC048">
      <w:start w:val="2"/>
      <w:numFmt w:val="bullet"/>
      <w:lvlText w:val="-"/>
      <w:lvlJc w:val="left"/>
      <w:pPr>
        <w:ind w:left="2340" w:hanging="360"/>
      </w:pPr>
      <w:rPr>
        <w:rFonts w:ascii="Century Gothic" w:eastAsiaTheme="minorHAnsi" w:hAnsi="Century Gothic" w:cstheme="minorBidi"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464172"/>
    <w:multiLevelType w:val="hybridMultilevel"/>
    <w:tmpl w:val="34DAD7B4"/>
    <w:lvl w:ilvl="0" w:tplc="D07CE396">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445601"/>
    <w:multiLevelType w:val="multilevel"/>
    <w:tmpl w:val="45CA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D450B8"/>
    <w:multiLevelType w:val="hybridMultilevel"/>
    <w:tmpl w:val="30A82684"/>
    <w:lvl w:ilvl="0" w:tplc="DE145AAA">
      <w:start w:val="1"/>
      <w:numFmt w:val="decimal"/>
      <w:lvlText w:val="%1."/>
      <w:lvlJc w:val="left"/>
      <w:pPr>
        <w:ind w:left="720" w:hanging="360"/>
      </w:pPr>
      <w:rPr>
        <w:b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FB314B"/>
    <w:multiLevelType w:val="hybridMultilevel"/>
    <w:tmpl w:val="3F40DB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617696"/>
    <w:multiLevelType w:val="multilevel"/>
    <w:tmpl w:val="4B12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66379E"/>
    <w:multiLevelType w:val="multilevel"/>
    <w:tmpl w:val="AFD88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92ED9"/>
    <w:multiLevelType w:val="multilevel"/>
    <w:tmpl w:val="0180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344B94"/>
    <w:multiLevelType w:val="hybridMultilevel"/>
    <w:tmpl w:val="A80A0C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C047E6"/>
    <w:multiLevelType w:val="multilevel"/>
    <w:tmpl w:val="FE6A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B20FD1"/>
    <w:multiLevelType w:val="hybridMultilevel"/>
    <w:tmpl w:val="D6E0D6F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8F672D0"/>
    <w:multiLevelType w:val="multilevel"/>
    <w:tmpl w:val="A8D2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F60A58"/>
    <w:multiLevelType w:val="hybridMultilevel"/>
    <w:tmpl w:val="F2C619C4"/>
    <w:lvl w:ilvl="0" w:tplc="FFFFFFFF">
      <w:start w:val="1"/>
      <w:numFmt w:val="decimal"/>
      <w:lvlText w:val="%1."/>
      <w:lvlJc w:val="left"/>
      <w:pPr>
        <w:ind w:left="720" w:hanging="360"/>
      </w:pPr>
      <w:rPr>
        <w:rFonts w:hint="default"/>
        <w:b w:val="0"/>
        <w:lang w:val="en-GB"/>
      </w:rPr>
    </w:lvl>
    <w:lvl w:ilvl="1" w:tplc="FFFFFFFF">
      <w:start w:val="1"/>
      <w:numFmt w:val="decimal"/>
      <w:lvlText w:val="%2."/>
      <w:lvlJc w:val="left"/>
      <w:pPr>
        <w:ind w:left="360" w:hanging="360"/>
      </w:pPr>
      <w:rPr>
        <w:rFonts w:hint="default"/>
        <w:b w:val="0"/>
      </w:rPr>
    </w:lvl>
    <w:lvl w:ilvl="2" w:tplc="FFFFFFFF">
      <w:start w:val="2"/>
      <w:numFmt w:val="bullet"/>
      <w:lvlText w:val="-"/>
      <w:lvlJc w:val="left"/>
      <w:pPr>
        <w:ind w:left="2340" w:hanging="360"/>
      </w:pPr>
      <w:rPr>
        <w:rFonts w:ascii="Century Gothic" w:eastAsiaTheme="minorHAnsi" w:hAnsi="Century Gothic" w:cstheme="minorBidi" w:hint="default"/>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3834089"/>
    <w:multiLevelType w:val="multilevel"/>
    <w:tmpl w:val="FAC297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594B57"/>
    <w:multiLevelType w:val="hybridMultilevel"/>
    <w:tmpl w:val="EAA2F702"/>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79C07EB0"/>
    <w:multiLevelType w:val="hybridMultilevel"/>
    <w:tmpl w:val="37229104"/>
    <w:lvl w:ilvl="0" w:tplc="CBA63C50">
      <w:start w:val="1"/>
      <w:numFmt w:val="decimal"/>
      <w:lvlText w:val="%1."/>
      <w:lvlJc w:val="left"/>
      <w:pPr>
        <w:ind w:left="720" w:hanging="360"/>
      </w:pPr>
      <w:rPr>
        <w:b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D70AD7"/>
    <w:multiLevelType w:val="hybridMultilevel"/>
    <w:tmpl w:val="85C66126"/>
    <w:lvl w:ilvl="0" w:tplc="5B9A8F4A">
      <w:start w:val="1"/>
      <w:numFmt w:val="decimal"/>
      <w:lvlText w:val="%1."/>
      <w:lvlJc w:val="left"/>
      <w:pPr>
        <w:ind w:left="927" w:hanging="360"/>
      </w:pPr>
      <w:rPr>
        <w:rFonts w:hint="default"/>
        <w:b w:val="0"/>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473061607">
    <w:abstractNumId w:val="17"/>
  </w:num>
  <w:num w:numId="2" w16cid:durableId="539325101">
    <w:abstractNumId w:val="21"/>
  </w:num>
  <w:num w:numId="3" w16cid:durableId="1963487943">
    <w:abstractNumId w:val="2"/>
  </w:num>
  <w:num w:numId="4" w16cid:durableId="970747781">
    <w:abstractNumId w:val="0"/>
  </w:num>
  <w:num w:numId="5" w16cid:durableId="1779450390">
    <w:abstractNumId w:val="20"/>
  </w:num>
  <w:num w:numId="6" w16cid:durableId="1252860750">
    <w:abstractNumId w:val="36"/>
  </w:num>
  <w:num w:numId="7" w16cid:durableId="1275484590">
    <w:abstractNumId w:val="10"/>
  </w:num>
  <w:num w:numId="8" w16cid:durableId="951859525">
    <w:abstractNumId w:val="11"/>
  </w:num>
  <w:num w:numId="9" w16cid:durableId="1288975757">
    <w:abstractNumId w:val="23"/>
  </w:num>
  <w:num w:numId="10" w16cid:durableId="758020486">
    <w:abstractNumId w:val="4"/>
  </w:num>
  <w:num w:numId="11" w16cid:durableId="381559942">
    <w:abstractNumId w:val="35"/>
  </w:num>
  <w:num w:numId="12" w16cid:durableId="84419445">
    <w:abstractNumId w:val="1"/>
  </w:num>
  <w:num w:numId="13" w16cid:durableId="471367192">
    <w:abstractNumId w:val="30"/>
  </w:num>
  <w:num w:numId="14" w16cid:durableId="1746024208">
    <w:abstractNumId w:val="34"/>
  </w:num>
  <w:num w:numId="15" w16cid:durableId="1998612239">
    <w:abstractNumId w:val="12"/>
  </w:num>
  <w:num w:numId="16" w16cid:durableId="1191994393">
    <w:abstractNumId w:val="24"/>
  </w:num>
  <w:num w:numId="17" w16cid:durableId="986477238">
    <w:abstractNumId w:val="28"/>
  </w:num>
  <w:num w:numId="18" w16cid:durableId="124352110">
    <w:abstractNumId w:val="32"/>
  </w:num>
  <w:num w:numId="19" w16cid:durableId="1557356359">
    <w:abstractNumId w:val="22"/>
  </w:num>
  <w:num w:numId="20" w16cid:durableId="432701100">
    <w:abstractNumId w:val="25"/>
  </w:num>
  <w:num w:numId="21" w16cid:durableId="2011904328">
    <w:abstractNumId w:val="26"/>
  </w:num>
  <w:num w:numId="22" w16cid:durableId="2030983591">
    <w:abstractNumId w:val="16"/>
  </w:num>
  <w:num w:numId="23" w16cid:durableId="46337764">
    <w:abstractNumId w:val="31"/>
  </w:num>
  <w:num w:numId="24" w16cid:durableId="583027028">
    <w:abstractNumId w:val="15"/>
  </w:num>
  <w:num w:numId="25" w16cid:durableId="715280335">
    <w:abstractNumId w:val="13"/>
  </w:num>
  <w:num w:numId="26" w16cid:durableId="1337340950">
    <w:abstractNumId w:val="3"/>
  </w:num>
  <w:num w:numId="27" w16cid:durableId="606622772">
    <w:abstractNumId w:val="9"/>
  </w:num>
  <w:num w:numId="28" w16cid:durableId="188568057">
    <w:abstractNumId w:val="6"/>
  </w:num>
  <w:num w:numId="29" w16cid:durableId="2051495271">
    <w:abstractNumId w:val="33"/>
  </w:num>
  <w:num w:numId="30" w16cid:durableId="1131435270">
    <w:abstractNumId w:val="19"/>
  </w:num>
  <w:num w:numId="31" w16cid:durableId="827209181">
    <w:abstractNumId w:val="5"/>
  </w:num>
  <w:num w:numId="32" w16cid:durableId="1319576395">
    <w:abstractNumId w:val="7"/>
  </w:num>
  <w:num w:numId="33" w16cid:durableId="798454622">
    <w:abstractNumId w:val="18"/>
  </w:num>
  <w:num w:numId="34" w16cid:durableId="833642918">
    <w:abstractNumId w:val="8"/>
  </w:num>
  <w:num w:numId="35" w16cid:durableId="989820531">
    <w:abstractNumId w:val="29"/>
  </w:num>
  <w:num w:numId="36" w16cid:durableId="97527811">
    <w:abstractNumId w:val="14"/>
  </w:num>
  <w:num w:numId="37" w16cid:durableId="130904849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138"/>
    <w:rsid w:val="000052D7"/>
    <w:rsid w:val="000102E2"/>
    <w:rsid w:val="00024527"/>
    <w:rsid w:val="00026B12"/>
    <w:rsid w:val="000358F6"/>
    <w:rsid w:val="00036360"/>
    <w:rsid w:val="000366E2"/>
    <w:rsid w:val="00042FBE"/>
    <w:rsid w:val="00047EC9"/>
    <w:rsid w:val="00052A85"/>
    <w:rsid w:val="00055C7C"/>
    <w:rsid w:val="00062042"/>
    <w:rsid w:val="000750DB"/>
    <w:rsid w:val="00076494"/>
    <w:rsid w:val="000920F6"/>
    <w:rsid w:val="00093F7E"/>
    <w:rsid w:val="00096FFF"/>
    <w:rsid w:val="000A04CC"/>
    <w:rsid w:val="000A140F"/>
    <w:rsid w:val="000B5287"/>
    <w:rsid w:val="000C70A4"/>
    <w:rsid w:val="000D1E05"/>
    <w:rsid w:val="000D5E73"/>
    <w:rsid w:val="000E2F47"/>
    <w:rsid w:val="00100683"/>
    <w:rsid w:val="00107938"/>
    <w:rsid w:val="00121175"/>
    <w:rsid w:val="00122691"/>
    <w:rsid w:val="001270C8"/>
    <w:rsid w:val="00127EAE"/>
    <w:rsid w:val="001336C8"/>
    <w:rsid w:val="001504E0"/>
    <w:rsid w:val="001610E4"/>
    <w:rsid w:val="001623C6"/>
    <w:rsid w:val="001730CF"/>
    <w:rsid w:val="00173AB3"/>
    <w:rsid w:val="00173EB1"/>
    <w:rsid w:val="00174DE4"/>
    <w:rsid w:val="00181E4D"/>
    <w:rsid w:val="00186E42"/>
    <w:rsid w:val="00191045"/>
    <w:rsid w:val="00192608"/>
    <w:rsid w:val="001965F1"/>
    <w:rsid w:val="001969F9"/>
    <w:rsid w:val="001971F5"/>
    <w:rsid w:val="00197A76"/>
    <w:rsid w:val="001A392D"/>
    <w:rsid w:val="001C175C"/>
    <w:rsid w:val="001C62E4"/>
    <w:rsid w:val="001D2062"/>
    <w:rsid w:val="001D39E9"/>
    <w:rsid w:val="001E0F4F"/>
    <w:rsid w:val="001E5584"/>
    <w:rsid w:val="001E667C"/>
    <w:rsid w:val="001E783B"/>
    <w:rsid w:val="001F39DF"/>
    <w:rsid w:val="001F4B42"/>
    <w:rsid w:val="0020010A"/>
    <w:rsid w:val="00202703"/>
    <w:rsid w:val="00216CC1"/>
    <w:rsid w:val="00235FD9"/>
    <w:rsid w:val="00261753"/>
    <w:rsid w:val="002619BA"/>
    <w:rsid w:val="00272072"/>
    <w:rsid w:val="002852A8"/>
    <w:rsid w:val="002958F6"/>
    <w:rsid w:val="002A00F5"/>
    <w:rsid w:val="002A3470"/>
    <w:rsid w:val="002A57FE"/>
    <w:rsid w:val="002B23E7"/>
    <w:rsid w:val="002B2A6A"/>
    <w:rsid w:val="002B6B18"/>
    <w:rsid w:val="002B6F87"/>
    <w:rsid w:val="002C01DC"/>
    <w:rsid w:val="002C419A"/>
    <w:rsid w:val="002C4C22"/>
    <w:rsid w:val="002D4A7E"/>
    <w:rsid w:val="002D7F8F"/>
    <w:rsid w:val="002E6B0C"/>
    <w:rsid w:val="00303AF7"/>
    <w:rsid w:val="00304A0F"/>
    <w:rsid w:val="00321FF6"/>
    <w:rsid w:val="00327AD8"/>
    <w:rsid w:val="00327B2E"/>
    <w:rsid w:val="00334508"/>
    <w:rsid w:val="00342B6D"/>
    <w:rsid w:val="00347865"/>
    <w:rsid w:val="003529F8"/>
    <w:rsid w:val="00355AE2"/>
    <w:rsid w:val="0036687A"/>
    <w:rsid w:val="00371D53"/>
    <w:rsid w:val="00372FF2"/>
    <w:rsid w:val="0037420B"/>
    <w:rsid w:val="0037770E"/>
    <w:rsid w:val="00380EAE"/>
    <w:rsid w:val="00381EC9"/>
    <w:rsid w:val="00384848"/>
    <w:rsid w:val="00385735"/>
    <w:rsid w:val="00387116"/>
    <w:rsid w:val="003878EB"/>
    <w:rsid w:val="0039237D"/>
    <w:rsid w:val="003A0B53"/>
    <w:rsid w:val="003A1E97"/>
    <w:rsid w:val="003A4820"/>
    <w:rsid w:val="003A560D"/>
    <w:rsid w:val="003B08AC"/>
    <w:rsid w:val="003B2ED2"/>
    <w:rsid w:val="003C31CC"/>
    <w:rsid w:val="003C5D87"/>
    <w:rsid w:val="003D7666"/>
    <w:rsid w:val="003E2EA3"/>
    <w:rsid w:val="003E7B8C"/>
    <w:rsid w:val="003F74B8"/>
    <w:rsid w:val="004127D5"/>
    <w:rsid w:val="004137DC"/>
    <w:rsid w:val="0041402B"/>
    <w:rsid w:val="00430C8B"/>
    <w:rsid w:val="00430F72"/>
    <w:rsid w:val="00435163"/>
    <w:rsid w:val="004455F7"/>
    <w:rsid w:val="004530DB"/>
    <w:rsid w:val="00457AAF"/>
    <w:rsid w:val="004670EA"/>
    <w:rsid w:val="00475D18"/>
    <w:rsid w:val="00476749"/>
    <w:rsid w:val="00476D8D"/>
    <w:rsid w:val="004823EC"/>
    <w:rsid w:val="00483AEF"/>
    <w:rsid w:val="00496239"/>
    <w:rsid w:val="004A1003"/>
    <w:rsid w:val="004A1B33"/>
    <w:rsid w:val="004A58F8"/>
    <w:rsid w:val="004B3464"/>
    <w:rsid w:val="004C1499"/>
    <w:rsid w:val="004C2AEB"/>
    <w:rsid w:val="004D0455"/>
    <w:rsid w:val="004D33A6"/>
    <w:rsid w:val="004D33B4"/>
    <w:rsid w:val="004D4300"/>
    <w:rsid w:val="004D7650"/>
    <w:rsid w:val="004F0F59"/>
    <w:rsid w:val="004F20CE"/>
    <w:rsid w:val="004F2D61"/>
    <w:rsid w:val="00502C48"/>
    <w:rsid w:val="00503457"/>
    <w:rsid w:val="00506D0C"/>
    <w:rsid w:val="005131E4"/>
    <w:rsid w:val="005136AC"/>
    <w:rsid w:val="005240CE"/>
    <w:rsid w:val="005307F4"/>
    <w:rsid w:val="00540916"/>
    <w:rsid w:val="00545FE2"/>
    <w:rsid w:val="005477C1"/>
    <w:rsid w:val="00550753"/>
    <w:rsid w:val="00550F4B"/>
    <w:rsid w:val="00560CE8"/>
    <w:rsid w:val="00584F5E"/>
    <w:rsid w:val="00586FB1"/>
    <w:rsid w:val="00587BEE"/>
    <w:rsid w:val="005976DF"/>
    <w:rsid w:val="005A2364"/>
    <w:rsid w:val="005B0E47"/>
    <w:rsid w:val="005B4EC8"/>
    <w:rsid w:val="005C2375"/>
    <w:rsid w:val="005C462F"/>
    <w:rsid w:val="005C653B"/>
    <w:rsid w:val="005E2919"/>
    <w:rsid w:val="005E7EC0"/>
    <w:rsid w:val="00602F1F"/>
    <w:rsid w:val="00613A82"/>
    <w:rsid w:val="00614716"/>
    <w:rsid w:val="00616157"/>
    <w:rsid w:val="00624B6E"/>
    <w:rsid w:val="00625CA4"/>
    <w:rsid w:val="00630089"/>
    <w:rsid w:val="00637258"/>
    <w:rsid w:val="0064171C"/>
    <w:rsid w:val="006523FB"/>
    <w:rsid w:val="00665121"/>
    <w:rsid w:val="00673ED3"/>
    <w:rsid w:val="006762AE"/>
    <w:rsid w:val="00685E07"/>
    <w:rsid w:val="006952D7"/>
    <w:rsid w:val="006A1309"/>
    <w:rsid w:val="006B1FB8"/>
    <w:rsid w:val="006B58EC"/>
    <w:rsid w:val="006C4B67"/>
    <w:rsid w:val="006D304C"/>
    <w:rsid w:val="006D6FD7"/>
    <w:rsid w:val="006E165C"/>
    <w:rsid w:val="006F1901"/>
    <w:rsid w:val="00701B3E"/>
    <w:rsid w:val="00703AAB"/>
    <w:rsid w:val="00715DA1"/>
    <w:rsid w:val="00740196"/>
    <w:rsid w:val="00744088"/>
    <w:rsid w:val="00744ADE"/>
    <w:rsid w:val="007472FA"/>
    <w:rsid w:val="007556BB"/>
    <w:rsid w:val="00761AB3"/>
    <w:rsid w:val="00761ED5"/>
    <w:rsid w:val="00765AD5"/>
    <w:rsid w:val="0077400B"/>
    <w:rsid w:val="00777221"/>
    <w:rsid w:val="00782AF7"/>
    <w:rsid w:val="007918BB"/>
    <w:rsid w:val="007A6492"/>
    <w:rsid w:val="007B469E"/>
    <w:rsid w:val="007B63A3"/>
    <w:rsid w:val="007B6F6E"/>
    <w:rsid w:val="007E26A9"/>
    <w:rsid w:val="008024E8"/>
    <w:rsid w:val="008041A9"/>
    <w:rsid w:val="008144C9"/>
    <w:rsid w:val="00822453"/>
    <w:rsid w:val="00834A47"/>
    <w:rsid w:val="00840596"/>
    <w:rsid w:val="008469B0"/>
    <w:rsid w:val="0084735A"/>
    <w:rsid w:val="00850189"/>
    <w:rsid w:val="008517DC"/>
    <w:rsid w:val="008618F6"/>
    <w:rsid w:val="008716E6"/>
    <w:rsid w:val="00873CBC"/>
    <w:rsid w:val="00892A35"/>
    <w:rsid w:val="00894A62"/>
    <w:rsid w:val="008970CC"/>
    <w:rsid w:val="008A144A"/>
    <w:rsid w:val="008A49ED"/>
    <w:rsid w:val="008A699E"/>
    <w:rsid w:val="008B53F1"/>
    <w:rsid w:val="008B70DC"/>
    <w:rsid w:val="008C348A"/>
    <w:rsid w:val="008D370E"/>
    <w:rsid w:val="008D57FE"/>
    <w:rsid w:val="008E0834"/>
    <w:rsid w:val="008F0FEE"/>
    <w:rsid w:val="008F1356"/>
    <w:rsid w:val="008F4503"/>
    <w:rsid w:val="00900539"/>
    <w:rsid w:val="009074F0"/>
    <w:rsid w:val="00915BF9"/>
    <w:rsid w:val="00921138"/>
    <w:rsid w:val="00925254"/>
    <w:rsid w:val="00936575"/>
    <w:rsid w:val="009478C7"/>
    <w:rsid w:val="0095281C"/>
    <w:rsid w:val="009538AB"/>
    <w:rsid w:val="00956F28"/>
    <w:rsid w:val="00961BD7"/>
    <w:rsid w:val="00966451"/>
    <w:rsid w:val="00970DDC"/>
    <w:rsid w:val="00971E50"/>
    <w:rsid w:val="00973508"/>
    <w:rsid w:val="00985629"/>
    <w:rsid w:val="00996AF5"/>
    <w:rsid w:val="009A2C1E"/>
    <w:rsid w:val="009A54A3"/>
    <w:rsid w:val="009A5E52"/>
    <w:rsid w:val="009A73C3"/>
    <w:rsid w:val="009B1DB7"/>
    <w:rsid w:val="009B6EBB"/>
    <w:rsid w:val="009C6968"/>
    <w:rsid w:val="009D3612"/>
    <w:rsid w:val="009D3891"/>
    <w:rsid w:val="009D437A"/>
    <w:rsid w:val="009F321E"/>
    <w:rsid w:val="009F4EEF"/>
    <w:rsid w:val="009F7289"/>
    <w:rsid w:val="00A03343"/>
    <w:rsid w:val="00A033AE"/>
    <w:rsid w:val="00A05E70"/>
    <w:rsid w:val="00A101EA"/>
    <w:rsid w:val="00A129DD"/>
    <w:rsid w:val="00A15B3B"/>
    <w:rsid w:val="00A23D21"/>
    <w:rsid w:val="00A32380"/>
    <w:rsid w:val="00A33C57"/>
    <w:rsid w:val="00A34092"/>
    <w:rsid w:val="00A60229"/>
    <w:rsid w:val="00A626E3"/>
    <w:rsid w:val="00A675C7"/>
    <w:rsid w:val="00A77680"/>
    <w:rsid w:val="00A90A9B"/>
    <w:rsid w:val="00A91839"/>
    <w:rsid w:val="00A96412"/>
    <w:rsid w:val="00AB522B"/>
    <w:rsid w:val="00AB58D9"/>
    <w:rsid w:val="00AB6F4E"/>
    <w:rsid w:val="00AC06DE"/>
    <w:rsid w:val="00AD5DF1"/>
    <w:rsid w:val="00AE3B45"/>
    <w:rsid w:val="00AF474A"/>
    <w:rsid w:val="00B0474A"/>
    <w:rsid w:val="00B052B0"/>
    <w:rsid w:val="00B05AE3"/>
    <w:rsid w:val="00B064D9"/>
    <w:rsid w:val="00B228AA"/>
    <w:rsid w:val="00B30DA1"/>
    <w:rsid w:val="00B31E14"/>
    <w:rsid w:val="00B4043C"/>
    <w:rsid w:val="00B4078E"/>
    <w:rsid w:val="00B51FF2"/>
    <w:rsid w:val="00B551BD"/>
    <w:rsid w:val="00B60F9D"/>
    <w:rsid w:val="00B6244E"/>
    <w:rsid w:val="00B7125D"/>
    <w:rsid w:val="00B7197D"/>
    <w:rsid w:val="00B92B83"/>
    <w:rsid w:val="00BA4CD0"/>
    <w:rsid w:val="00BA50AE"/>
    <w:rsid w:val="00BB24D2"/>
    <w:rsid w:val="00BB3EA2"/>
    <w:rsid w:val="00BC0613"/>
    <w:rsid w:val="00BC169E"/>
    <w:rsid w:val="00BC3D89"/>
    <w:rsid w:val="00BC7CF4"/>
    <w:rsid w:val="00BD122C"/>
    <w:rsid w:val="00BE427E"/>
    <w:rsid w:val="00BF45AE"/>
    <w:rsid w:val="00C025FC"/>
    <w:rsid w:val="00C20ACB"/>
    <w:rsid w:val="00C30744"/>
    <w:rsid w:val="00C31AF8"/>
    <w:rsid w:val="00C42E96"/>
    <w:rsid w:val="00C50C59"/>
    <w:rsid w:val="00C53A4E"/>
    <w:rsid w:val="00C56830"/>
    <w:rsid w:val="00C60028"/>
    <w:rsid w:val="00C602EF"/>
    <w:rsid w:val="00C74A63"/>
    <w:rsid w:val="00C75553"/>
    <w:rsid w:val="00C765C1"/>
    <w:rsid w:val="00C765CE"/>
    <w:rsid w:val="00C77B74"/>
    <w:rsid w:val="00C87119"/>
    <w:rsid w:val="00CA4539"/>
    <w:rsid w:val="00CA7053"/>
    <w:rsid w:val="00CA7073"/>
    <w:rsid w:val="00CB203C"/>
    <w:rsid w:val="00CB7C86"/>
    <w:rsid w:val="00CC41F6"/>
    <w:rsid w:val="00CD4CCB"/>
    <w:rsid w:val="00CE164F"/>
    <w:rsid w:val="00CE2B37"/>
    <w:rsid w:val="00CE384D"/>
    <w:rsid w:val="00CE55EB"/>
    <w:rsid w:val="00CF521C"/>
    <w:rsid w:val="00D01F88"/>
    <w:rsid w:val="00D2119C"/>
    <w:rsid w:val="00D219E4"/>
    <w:rsid w:val="00D22EEC"/>
    <w:rsid w:val="00D23174"/>
    <w:rsid w:val="00D236B6"/>
    <w:rsid w:val="00D254C8"/>
    <w:rsid w:val="00D25629"/>
    <w:rsid w:val="00D45AC9"/>
    <w:rsid w:val="00D51297"/>
    <w:rsid w:val="00D71FA8"/>
    <w:rsid w:val="00D80F91"/>
    <w:rsid w:val="00D835F7"/>
    <w:rsid w:val="00D900CF"/>
    <w:rsid w:val="00D904BB"/>
    <w:rsid w:val="00D93E15"/>
    <w:rsid w:val="00DA5EDA"/>
    <w:rsid w:val="00DB0B82"/>
    <w:rsid w:val="00DC5C33"/>
    <w:rsid w:val="00DC614A"/>
    <w:rsid w:val="00DD470D"/>
    <w:rsid w:val="00DE755B"/>
    <w:rsid w:val="00DF0575"/>
    <w:rsid w:val="00DF0967"/>
    <w:rsid w:val="00DF0DDE"/>
    <w:rsid w:val="00DF574D"/>
    <w:rsid w:val="00E05044"/>
    <w:rsid w:val="00E06005"/>
    <w:rsid w:val="00E070B3"/>
    <w:rsid w:val="00E11AEF"/>
    <w:rsid w:val="00E12D7F"/>
    <w:rsid w:val="00E312DE"/>
    <w:rsid w:val="00E3752E"/>
    <w:rsid w:val="00E512B7"/>
    <w:rsid w:val="00E66DF2"/>
    <w:rsid w:val="00E70C11"/>
    <w:rsid w:val="00E83595"/>
    <w:rsid w:val="00E84AFF"/>
    <w:rsid w:val="00E91373"/>
    <w:rsid w:val="00E9496E"/>
    <w:rsid w:val="00EA004C"/>
    <w:rsid w:val="00EA6BF3"/>
    <w:rsid w:val="00EC0182"/>
    <w:rsid w:val="00EC086B"/>
    <w:rsid w:val="00EC439D"/>
    <w:rsid w:val="00EC64ED"/>
    <w:rsid w:val="00ED1909"/>
    <w:rsid w:val="00ED2307"/>
    <w:rsid w:val="00EF1159"/>
    <w:rsid w:val="00EF7FFE"/>
    <w:rsid w:val="00F04B31"/>
    <w:rsid w:val="00F12685"/>
    <w:rsid w:val="00F143C0"/>
    <w:rsid w:val="00F17CE6"/>
    <w:rsid w:val="00F205F2"/>
    <w:rsid w:val="00F22800"/>
    <w:rsid w:val="00F24A2C"/>
    <w:rsid w:val="00F3267B"/>
    <w:rsid w:val="00F33D30"/>
    <w:rsid w:val="00F41B9D"/>
    <w:rsid w:val="00F43057"/>
    <w:rsid w:val="00F459E5"/>
    <w:rsid w:val="00F52E55"/>
    <w:rsid w:val="00F70585"/>
    <w:rsid w:val="00F9261C"/>
    <w:rsid w:val="00FA3981"/>
    <w:rsid w:val="00FA3C8C"/>
    <w:rsid w:val="00FB02C2"/>
    <w:rsid w:val="00FB1C8F"/>
    <w:rsid w:val="00FB7722"/>
    <w:rsid w:val="00FC4A6F"/>
    <w:rsid w:val="00FC5F36"/>
    <w:rsid w:val="00FD5770"/>
    <w:rsid w:val="00FD7DEC"/>
    <w:rsid w:val="00FE6D45"/>
    <w:rsid w:val="00FF3A63"/>
    <w:rsid w:val="00FF520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0BCBDF"/>
  <w14:defaultImageDpi w14:val="330"/>
  <w15:docId w15:val="{0235B79A-0CCD-49B6-AAAC-748D21B5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D71FA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71FA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D577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6E165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F521C"/>
    <w:pPr>
      <w:ind w:left="720"/>
      <w:contextualSpacing/>
    </w:pPr>
  </w:style>
  <w:style w:type="paragraph" w:styleId="BalloonText">
    <w:name w:val="Balloon Text"/>
    <w:basedOn w:val="Normal"/>
    <w:link w:val="BalloonTextChar"/>
    <w:uiPriority w:val="99"/>
    <w:semiHidden/>
    <w:unhideWhenUsed/>
    <w:rsid w:val="00430F72"/>
    <w:rPr>
      <w:rFonts w:ascii="Tahoma" w:hAnsi="Tahoma" w:cs="Tahoma"/>
      <w:sz w:val="16"/>
      <w:szCs w:val="16"/>
    </w:rPr>
  </w:style>
  <w:style w:type="character" w:customStyle="1" w:styleId="BalloonTextChar">
    <w:name w:val="Balloon Text Char"/>
    <w:basedOn w:val="DefaultParagraphFont"/>
    <w:link w:val="BalloonText"/>
    <w:uiPriority w:val="99"/>
    <w:semiHidden/>
    <w:rsid w:val="00430F72"/>
    <w:rPr>
      <w:rFonts w:ascii="Tahoma" w:hAnsi="Tahoma" w:cs="Tahoma"/>
      <w:sz w:val="16"/>
      <w:szCs w:val="16"/>
      <w:lang w:val="fr-FR"/>
    </w:rPr>
  </w:style>
  <w:style w:type="character" w:customStyle="1" w:styleId="Heading1Char">
    <w:name w:val="Heading 1 Char"/>
    <w:basedOn w:val="DefaultParagraphFont"/>
    <w:link w:val="Heading1"/>
    <w:uiPriority w:val="9"/>
    <w:rsid w:val="00D71FA8"/>
    <w:rPr>
      <w:rFonts w:asciiTheme="majorHAnsi" w:eastAsiaTheme="majorEastAsia" w:hAnsiTheme="majorHAnsi" w:cstheme="majorBidi"/>
      <w:color w:val="365F91" w:themeColor="accent1" w:themeShade="BF"/>
      <w:sz w:val="32"/>
      <w:szCs w:val="32"/>
      <w:lang w:val="fr-FR"/>
    </w:rPr>
  </w:style>
  <w:style w:type="character" w:customStyle="1" w:styleId="Heading2Char">
    <w:name w:val="Heading 2 Char"/>
    <w:basedOn w:val="DefaultParagraphFont"/>
    <w:link w:val="Heading2"/>
    <w:uiPriority w:val="9"/>
    <w:semiHidden/>
    <w:rsid w:val="00D71FA8"/>
    <w:rPr>
      <w:rFonts w:asciiTheme="majorHAnsi" w:eastAsiaTheme="majorEastAsia" w:hAnsiTheme="majorHAnsi" w:cstheme="majorBidi"/>
      <w:color w:val="365F91" w:themeColor="accent1" w:themeShade="BF"/>
      <w:sz w:val="26"/>
      <w:szCs w:val="26"/>
      <w:lang w:val="fr-FR"/>
    </w:rPr>
  </w:style>
  <w:style w:type="character" w:styleId="Hyperlink">
    <w:name w:val="Hyperlink"/>
    <w:basedOn w:val="DefaultParagraphFont"/>
    <w:uiPriority w:val="99"/>
    <w:unhideWhenUsed/>
    <w:rsid w:val="00E9496E"/>
    <w:rPr>
      <w:color w:val="0000FF" w:themeColor="hyperlink"/>
      <w:u w:val="single"/>
    </w:rPr>
  </w:style>
  <w:style w:type="character" w:styleId="FollowedHyperlink">
    <w:name w:val="FollowedHyperlink"/>
    <w:basedOn w:val="DefaultParagraphFont"/>
    <w:uiPriority w:val="99"/>
    <w:semiHidden/>
    <w:unhideWhenUsed/>
    <w:rsid w:val="00430C8B"/>
    <w:rPr>
      <w:color w:val="800080" w:themeColor="followedHyperlink"/>
      <w:u w:val="single"/>
    </w:rPr>
  </w:style>
  <w:style w:type="character" w:styleId="UnresolvedMention">
    <w:name w:val="Unresolved Mention"/>
    <w:basedOn w:val="DefaultParagraphFont"/>
    <w:uiPriority w:val="99"/>
    <w:semiHidden/>
    <w:unhideWhenUsed/>
    <w:rsid w:val="00A033AE"/>
    <w:rPr>
      <w:color w:val="605E5C"/>
      <w:shd w:val="clear" w:color="auto" w:fill="E1DFDD"/>
    </w:rPr>
  </w:style>
  <w:style w:type="paragraph" w:styleId="Subtitle">
    <w:name w:val="Subtitle"/>
    <w:basedOn w:val="Normal"/>
    <w:next w:val="Normal"/>
    <w:link w:val="SubtitleChar"/>
    <w:uiPriority w:val="11"/>
    <w:qFormat/>
    <w:rsid w:val="00CA7073"/>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CA7073"/>
    <w:rPr>
      <w:color w:val="5A5A5A" w:themeColor="text1" w:themeTint="A5"/>
      <w:spacing w:val="15"/>
      <w:sz w:val="22"/>
      <w:szCs w:val="22"/>
      <w:lang w:val="fr-FR"/>
    </w:rPr>
  </w:style>
  <w:style w:type="paragraph" w:styleId="Header">
    <w:name w:val="header"/>
    <w:basedOn w:val="Normal"/>
    <w:link w:val="HeaderChar"/>
    <w:uiPriority w:val="99"/>
    <w:unhideWhenUsed/>
    <w:rsid w:val="009C6968"/>
    <w:pPr>
      <w:tabs>
        <w:tab w:val="center" w:pos="4513"/>
        <w:tab w:val="right" w:pos="9026"/>
      </w:tabs>
    </w:pPr>
  </w:style>
  <w:style w:type="character" w:customStyle="1" w:styleId="HeaderChar">
    <w:name w:val="Header Char"/>
    <w:basedOn w:val="DefaultParagraphFont"/>
    <w:link w:val="Header"/>
    <w:uiPriority w:val="99"/>
    <w:rsid w:val="009C6968"/>
    <w:rPr>
      <w:lang w:val="fr-FR"/>
    </w:rPr>
  </w:style>
  <w:style w:type="paragraph" w:styleId="Footer">
    <w:name w:val="footer"/>
    <w:basedOn w:val="Normal"/>
    <w:link w:val="FooterChar"/>
    <w:uiPriority w:val="99"/>
    <w:unhideWhenUsed/>
    <w:rsid w:val="009C6968"/>
    <w:pPr>
      <w:tabs>
        <w:tab w:val="center" w:pos="4513"/>
        <w:tab w:val="right" w:pos="9026"/>
      </w:tabs>
    </w:pPr>
  </w:style>
  <w:style w:type="character" w:customStyle="1" w:styleId="FooterChar">
    <w:name w:val="Footer Char"/>
    <w:basedOn w:val="DefaultParagraphFont"/>
    <w:link w:val="Footer"/>
    <w:uiPriority w:val="99"/>
    <w:rsid w:val="009C6968"/>
    <w:rPr>
      <w:lang w:val="fr-FR"/>
    </w:rPr>
  </w:style>
  <w:style w:type="character" w:customStyle="1" w:styleId="apple-converted-space">
    <w:name w:val="apple-converted-space"/>
    <w:basedOn w:val="DefaultParagraphFont"/>
    <w:rsid w:val="00E70C11"/>
  </w:style>
  <w:style w:type="character" w:customStyle="1" w:styleId="object">
    <w:name w:val="object"/>
    <w:basedOn w:val="DefaultParagraphFont"/>
    <w:rsid w:val="00E70C11"/>
  </w:style>
  <w:style w:type="paragraph" w:customStyle="1" w:styleId="oj-doc-ti">
    <w:name w:val="oj-doc-ti"/>
    <w:basedOn w:val="Normal"/>
    <w:rsid w:val="00B228AA"/>
    <w:pPr>
      <w:spacing w:before="100" w:beforeAutospacing="1" w:after="100" w:afterAutospacing="1"/>
    </w:pPr>
    <w:rPr>
      <w:rFonts w:ascii="Times New Roman" w:eastAsia="Times New Roman" w:hAnsi="Times New Roman" w:cs="Times New Roman"/>
    </w:rPr>
  </w:style>
  <w:style w:type="character" w:customStyle="1" w:styleId="outputecli">
    <w:name w:val="outputecli"/>
    <w:basedOn w:val="DefaultParagraphFont"/>
    <w:rsid w:val="007556BB"/>
  </w:style>
  <w:style w:type="paragraph" w:styleId="NormalWeb">
    <w:name w:val="Normal (Web)"/>
    <w:basedOn w:val="Normal"/>
    <w:uiPriority w:val="99"/>
    <w:unhideWhenUsed/>
    <w:rsid w:val="009D3612"/>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6E165C"/>
    <w:rPr>
      <w:rFonts w:asciiTheme="majorHAnsi" w:eastAsiaTheme="majorEastAsia" w:hAnsiTheme="majorHAnsi" w:cstheme="majorBidi"/>
      <w:i/>
      <w:iCs/>
      <w:color w:val="365F91" w:themeColor="accent1" w:themeShade="BF"/>
      <w:lang w:val="fr-FR"/>
    </w:rPr>
  </w:style>
  <w:style w:type="character" w:customStyle="1" w:styleId="Heading3Char">
    <w:name w:val="Heading 3 Char"/>
    <w:basedOn w:val="DefaultParagraphFont"/>
    <w:link w:val="Heading3"/>
    <w:uiPriority w:val="9"/>
    <w:semiHidden/>
    <w:rsid w:val="00FD5770"/>
    <w:rPr>
      <w:rFonts w:asciiTheme="majorHAnsi" w:eastAsiaTheme="majorEastAsia" w:hAnsiTheme="majorHAnsi" w:cstheme="majorBidi"/>
      <w:color w:val="243F60" w:themeColor="accent1" w:themeShade="7F"/>
      <w:lang w:val="fr-FR"/>
    </w:rPr>
  </w:style>
  <w:style w:type="character" w:styleId="Strong">
    <w:name w:val="Strong"/>
    <w:basedOn w:val="DefaultParagraphFont"/>
    <w:uiPriority w:val="22"/>
    <w:qFormat/>
    <w:rsid w:val="00FD5770"/>
    <w:rPr>
      <w:b/>
      <w:bCs/>
    </w:rPr>
  </w:style>
  <w:style w:type="character" w:styleId="Emphasis">
    <w:name w:val="Emphasis"/>
    <w:basedOn w:val="DefaultParagraphFont"/>
    <w:uiPriority w:val="20"/>
    <w:qFormat/>
    <w:rsid w:val="00FD57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892">
      <w:bodyDiv w:val="1"/>
      <w:marLeft w:val="0"/>
      <w:marRight w:val="0"/>
      <w:marTop w:val="0"/>
      <w:marBottom w:val="0"/>
      <w:divBdr>
        <w:top w:val="none" w:sz="0" w:space="0" w:color="auto"/>
        <w:left w:val="none" w:sz="0" w:space="0" w:color="auto"/>
        <w:bottom w:val="none" w:sz="0" w:space="0" w:color="auto"/>
        <w:right w:val="none" w:sz="0" w:space="0" w:color="auto"/>
      </w:divBdr>
    </w:div>
    <w:div w:id="28841072">
      <w:bodyDiv w:val="1"/>
      <w:marLeft w:val="0"/>
      <w:marRight w:val="0"/>
      <w:marTop w:val="0"/>
      <w:marBottom w:val="0"/>
      <w:divBdr>
        <w:top w:val="none" w:sz="0" w:space="0" w:color="auto"/>
        <w:left w:val="none" w:sz="0" w:space="0" w:color="auto"/>
        <w:bottom w:val="none" w:sz="0" w:space="0" w:color="auto"/>
        <w:right w:val="none" w:sz="0" w:space="0" w:color="auto"/>
      </w:divBdr>
    </w:div>
    <w:div w:id="58872668">
      <w:bodyDiv w:val="1"/>
      <w:marLeft w:val="0"/>
      <w:marRight w:val="0"/>
      <w:marTop w:val="0"/>
      <w:marBottom w:val="0"/>
      <w:divBdr>
        <w:top w:val="none" w:sz="0" w:space="0" w:color="auto"/>
        <w:left w:val="none" w:sz="0" w:space="0" w:color="auto"/>
        <w:bottom w:val="none" w:sz="0" w:space="0" w:color="auto"/>
        <w:right w:val="none" w:sz="0" w:space="0" w:color="auto"/>
      </w:divBdr>
    </w:div>
    <w:div w:id="214044042">
      <w:bodyDiv w:val="1"/>
      <w:marLeft w:val="0"/>
      <w:marRight w:val="0"/>
      <w:marTop w:val="0"/>
      <w:marBottom w:val="0"/>
      <w:divBdr>
        <w:top w:val="none" w:sz="0" w:space="0" w:color="auto"/>
        <w:left w:val="none" w:sz="0" w:space="0" w:color="auto"/>
        <w:bottom w:val="none" w:sz="0" w:space="0" w:color="auto"/>
        <w:right w:val="none" w:sz="0" w:space="0" w:color="auto"/>
      </w:divBdr>
    </w:div>
    <w:div w:id="223878139">
      <w:bodyDiv w:val="1"/>
      <w:marLeft w:val="0"/>
      <w:marRight w:val="0"/>
      <w:marTop w:val="0"/>
      <w:marBottom w:val="0"/>
      <w:divBdr>
        <w:top w:val="none" w:sz="0" w:space="0" w:color="auto"/>
        <w:left w:val="none" w:sz="0" w:space="0" w:color="auto"/>
        <w:bottom w:val="none" w:sz="0" w:space="0" w:color="auto"/>
        <w:right w:val="none" w:sz="0" w:space="0" w:color="auto"/>
      </w:divBdr>
    </w:div>
    <w:div w:id="225578957">
      <w:bodyDiv w:val="1"/>
      <w:marLeft w:val="0"/>
      <w:marRight w:val="0"/>
      <w:marTop w:val="0"/>
      <w:marBottom w:val="0"/>
      <w:divBdr>
        <w:top w:val="none" w:sz="0" w:space="0" w:color="auto"/>
        <w:left w:val="none" w:sz="0" w:space="0" w:color="auto"/>
        <w:bottom w:val="none" w:sz="0" w:space="0" w:color="auto"/>
        <w:right w:val="none" w:sz="0" w:space="0" w:color="auto"/>
      </w:divBdr>
    </w:div>
    <w:div w:id="410933658">
      <w:bodyDiv w:val="1"/>
      <w:marLeft w:val="0"/>
      <w:marRight w:val="0"/>
      <w:marTop w:val="0"/>
      <w:marBottom w:val="0"/>
      <w:divBdr>
        <w:top w:val="none" w:sz="0" w:space="0" w:color="auto"/>
        <w:left w:val="none" w:sz="0" w:space="0" w:color="auto"/>
        <w:bottom w:val="none" w:sz="0" w:space="0" w:color="auto"/>
        <w:right w:val="none" w:sz="0" w:space="0" w:color="auto"/>
      </w:divBdr>
    </w:div>
    <w:div w:id="596718757">
      <w:bodyDiv w:val="1"/>
      <w:marLeft w:val="0"/>
      <w:marRight w:val="0"/>
      <w:marTop w:val="0"/>
      <w:marBottom w:val="0"/>
      <w:divBdr>
        <w:top w:val="none" w:sz="0" w:space="0" w:color="auto"/>
        <w:left w:val="none" w:sz="0" w:space="0" w:color="auto"/>
        <w:bottom w:val="none" w:sz="0" w:space="0" w:color="auto"/>
        <w:right w:val="none" w:sz="0" w:space="0" w:color="auto"/>
      </w:divBdr>
    </w:div>
    <w:div w:id="627855289">
      <w:bodyDiv w:val="1"/>
      <w:marLeft w:val="0"/>
      <w:marRight w:val="0"/>
      <w:marTop w:val="0"/>
      <w:marBottom w:val="0"/>
      <w:divBdr>
        <w:top w:val="none" w:sz="0" w:space="0" w:color="auto"/>
        <w:left w:val="none" w:sz="0" w:space="0" w:color="auto"/>
        <w:bottom w:val="none" w:sz="0" w:space="0" w:color="auto"/>
        <w:right w:val="none" w:sz="0" w:space="0" w:color="auto"/>
      </w:divBdr>
    </w:div>
    <w:div w:id="634944194">
      <w:bodyDiv w:val="1"/>
      <w:marLeft w:val="0"/>
      <w:marRight w:val="0"/>
      <w:marTop w:val="0"/>
      <w:marBottom w:val="0"/>
      <w:divBdr>
        <w:top w:val="none" w:sz="0" w:space="0" w:color="auto"/>
        <w:left w:val="none" w:sz="0" w:space="0" w:color="auto"/>
        <w:bottom w:val="none" w:sz="0" w:space="0" w:color="auto"/>
        <w:right w:val="none" w:sz="0" w:space="0" w:color="auto"/>
      </w:divBdr>
    </w:div>
    <w:div w:id="690303977">
      <w:bodyDiv w:val="1"/>
      <w:marLeft w:val="0"/>
      <w:marRight w:val="0"/>
      <w:marTop w:val="0"/>
      <w:marBottom w:val="0"/>
      <w:divBdr>
        <w:top w:val="none" w:sz="0" w:space="0" w:color="auto"/>
        <w:left w:val="none" w:sz="0" w:space="0" w:color="auto"/>
        <w:bottom w:val="none" w:sz="0" w:space="0" w:color="auto"/>
        <w:right w:val="none" w:sz="0" w:space="0" w:color="auto"/>
      </w:divBdr>
      <w:divsChild>
        <w:div w:id="2120831486">
          <w:marLeft w:val="0"/>
          <w:marRight w:val="0"/>
          <w:marTop w:val="0"/>
          <w:marBottom w:val="0"/>
          <w:divBdr>
            <w:top w:val="none" w:sz="0" w:space="0" w:color="auto"/>
            <w:left w:val="none" w:sz="0" w:space="0" w:color="auto"/>
            <w:bottom w:val="none" w:sz="0" w:space="0" w:color="auto"/>
            <w:right w:val="none" w:sz="0" w:space="0" w:color="auto"/>
          </w:divBdr>
        </w:div>
      </w:divsChild>
    </w:div>
    <w:div w:id="800342360">
      <w:bodyDiv w:val="1"/>
      <w:marLeft w:val="0"/>
      <w:marRight w:val="0"/>
      <w:marTop w:val="0"/>
      <w:marBottom w:val="0"/>
      <w:divBdr>
        <w:top w:val="none" w:sz="0" w:space="0" w:color="auto"/>
        <w:left w:val="none" w:sz="0" w:space="0" w:color="auto"/>
        <w:bottom w:val="none" w:sz="0" w:space="0" w:color="auto"/>
        <w:right w:val="none" w:sz="0" w:space="0" w:color="auto"/>
      </w:divBdr>
    </w:div>
    <w:div w:id="901520013">
      <w:bodyDiv w:val="1"/>
      <w:marLeft w:val="0"/>
      <w:marRight w:val="0"/>
      <w:marTop w:val="0"/>
      <w:marBottom w:val="0"/>
      <w:divBdr>
        <w:top w:val="none" w:sz="0" w:space="0" w:color="auto"/>
        <w:left w:val="none" w:sz="0" w:space="0" w:color="auto"/>
        <w:bottom w:val="none" w:sz="0" w:space="0" w:color="auto"/>
        <w:right w:val="none" w:sz="0" w:space="0" w:color="auto"/>
      </w:divBdr>
    </w:div>
    <w:div w:id="977996908">
      <w:bodyDiv w:val="1"/>
      <w:marLeft w:val="0"/>
      <w:marRight w:val="0"/>
      <w:marTop w:val="0"/>
      <w:marBottom w:val="0"/>
      <w:divBdr>
        <w:top w:val="none" w:sz="0" w:space="0" w:color="auto"/>
        <w:left w:val="none" w:sz="0" w:space="0" w:color="auto"/>
        <w:bottom w:val="none" w:sz="0" w:space="0" w:color="auto"/>
        <w:right w:val="none" w:sz="0" w:space="0" w:color="auto"/>
      </w:divBdr>
    </w:div>
    <w:div w:id="1034766676">
      <w:bodyDiv w:val="1"/>
      <w:marLeft w:val="0"/>
      <w:marRight w:val="0"/>
      <w:marTop w:val="0"/>
      <w:marBottom w:val="0"/>
      <w:divBdr>
        <w:top w:val="none" w:sz="0" w:space="0" w:color="auto"/>
        <w:left w:val="none" w:sz="0" w:space="0" w:color="auto"/>
        <w:bottom w:val="none" w:sz="0" w:space="0" w:color="auto"/>
        <w:right w:val="none" w:sz="0" w:space="0" w:color="auto"/>
      </w:divBdr>
    </w:div>
    <w:div w:id="1061951245">
      <w:bodyDiv w:val="1"/>
      <w:marLeft w:val="0"/>
      <w:marRight w:val="0"/>
      <w:marTop w:val="0"/>
      <w:marBottom w:val="0"/>
      <w:divBdr>
        <w:top w:val="none" w:sz="0" w:space="0" w:color="auto"/>
        <w:left w:val="none" w:sz="0" w:space="0" w:color="auto"/>
        <w:bottom w:val="none" w:sz="0" w:space="0" w:color="auto"/>
        <w:right w:val="none" w:sz="0" w:space="0" w:color="auto"/>
      </w:divBdr>
    </w:div>
    <w:div w:id="1342006682">
      <w:bodyDiv w:val="1"/>
      <w:marLeft w:val="0"/>
      <w:marRight w:val="0"/>
      <w:marTop w:val="0"/>
      <w:marBottom w:val="0"/>
      <w:divBdr>
        <w:top w:val="none" w:sz="0" w:space="0" w:color="auto"/>
        <w:left w:val="none" w:sz="0" w:space="0" w:color="auto"/>
        <w:bottom w:val="none" w:sz="0" w:space="0" w:color="auto"/>
        <w:right w:val="none" w:sz="0" w:space="0" w:color="auto"/>
      </w:divBdr>
    </w:div>
    <w:div w:id="1488014015">
      <w:bodyDiv w:val="1"/>
      <w:marLeft w:val="0"/>
      <w:marRight w:val="0"/>
      <w:marTop w:val="0"/>
      <w:marBottom w:val="0"/>
      <w:divBdr>
        <w:top w:val="none" w:sz="0" w:space="0" w:color="auto"/>
        <w:left w:val="none" w:sz="0" w:space="0" w:color="auto"/>
        <w:bottom w:val="none" w:sz="0" w:space="0" w:color="auto"/>
        <w:right w:val="none" w:sz="0" w:space="0" w:color="auto"/>
      </w:divBdr>
    </w:div>
    <w:div w:id="1585799374">
      <w:bodyDiv w:val="1"/>
      <w:marLeft w:val="0"/>
      <w:marRight w:val="0"/>
      <w:marTop w:val="0"/>
      <w:marBottom w:val="0"/>
      <w:divBdr>
        <w:top w:val="none" w:sz="0" w:space="0" w:color="auto"/>
        <w:left w:val="none" w:sz="0" w:space="0" w:color="auto"/>
        <w:bottom w:val="none" w:sz="0" w:space="0" w:color="auto"/>
        <w:right w:val="none" w:sz="0" w:space="0" w:color="auto"/>
      </w:divBdr>
      <w:divsChild>
        <w:div w:id="1823161314">
          <w:marLeft w:val="0"/>
          <w:marRight w:val="0"/>
          <w:marTop w:val="0"/>
          <w:marBottom w:val="0"/>
          <w:divBdr>
            <w:top w:val="none" w:sz="0" w:space="0" w:color="auto"/>
            <w:left w:val="none" w:sz="0" w:space="0" w:color="auto"/>
            <w:bottom w:val="none" w:sz="0" w:space="0" w:color="auto"/>
            <w:right w:val="none" w:sz="0" w:space="0" w:color="auto"/>
          </w:divBdr>
          <w:divsChild>
            <w:div w:id="1800301778">
              <w:marLeft w:val="0"/>
              <w:marRight w:val="0"/>
              <w:marTop w:val="0"/>
              <w:marBottom w:val="0"/>
              <w:divBdr>
                <w:top w:val="none" w:sz="0" w:space="0" w:color="auto"/>
                <w:left w:val="none" w:sz="0" w:space="0" w:color="auto"/>
                <w:bottom w:val="none" w:sz="0" w:space="0" w:color="auto"/>
                <w:right w:val="none" w:sz="0" w:space="0" w:color="auto"/>
              </w:divBdr>
              <w:divsChild>
                <w:div w:id="154181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959452">
      <w:bodyDiv w:val="1"/>
      <w:marLeft w:val="0"/>
      <w:marRight w:val="0"/>
      <w:marTop w:val="0"/>
      <w:marBottom w:val="0"/>
      <w:divBdr>
        <w:top w:val="none" w:sz="0" w:space="0" w:color="auto"/>
        <w:left w:val="none" w:sz="0" w:space="0" w:color="auto"/>
        <w:bottom w:val="none" w:sz="0" w:space="0" w:color="auto"/>
        <w:right w:val="none" w:sz="0" w:space="0" w:color="auto"/>
      </w:divBdr>
    </w:div>
    <w:div w:id="1819609760">
      <w:bodyDiv w:val="1"/>
      <w:marLeft w:val="0"/>
      <w:marRight w:val="0"/>
      <w:marTop w:val="0"/>
      <w:marBottom w:val="0"/>
      <w:divBdr>
        <w:top w:val="none" w:sz="0" w:space="0" w:color="auto"/>
        <w:left w:val="none" w:sz="0" w:space="0" w:color="auto"/>
        <w:bottom w:val="none" w:sz="0" w:space="0" w:color="auto"/>
        <w:right w:val="none" w:sz="0" w:space="0" w:color="auto"/>
      </w:divBdr>
    </w:div>
    <w:div w:id="1830632387">
      <w:bodyDiv w:val="1"/>
      <w:marLeft w:val="0"/>
      <w:marRight w:val="0"/>
      <w:marTop w:val="0"/>
      <w:marBottom w:val="0"/>
      <w:divBdr>
        <w:top w:val="none" w:sz="0" w:space="0" w:color="auto"/>
        <w:left w:val="none" w:sz="0" w:space="0" w:color="auto"/>
        <w:bottom w:val="none" w:sz="0" w:space="0" w:color="auto"/>
        <w:right w:val="none" w:sz="0" w:space="0" w:color="auto"/>
      </w:divBdr>
      <w:divsChild>
        <w:div w:id="1477723399">
          <w:marLeft w:val="0"/>
          <w:marRight w:val="0"/>
          <w:marTop w:val="0"/>
          <w:marBottom w:val="0"/>
          <w:divBdr>
            <w:top w:val="none" w:sz="0" w:space="0" w:color="auto"/>
            <w:left w:val="none" w:sz="0" w:space="0" w:color="auto"/>
            <w:bottom w:val="none" w:sz="0" w:space="0" w:color="auto"/>
            <w:right w:val="none" w:sz="0" w:space="0" w:color="auto"/>
          </w:divBdr>
        </w:div>
        <w:div w:id="1279293638">
          <w:marLeft w:val="0"/>
          <w:marRight w:val="0"/>
          <w:marTop w:val="0"/>
          <w:marBottom w:val="0"/>
          <w:divBdr>
            <w:top w:val="none" w:sz="0" w:space="0" w:color="auto"/>
            <w:left w:val="none" w:sz="0" w:space="0" w:color="auto"/>
            <w:bottom w:val="none" w:sz="0" w:space="0" w:color="auto"/>
            <w:right w:val="none" w:sz="0" w:space="0" w:color="auto"/>
          </w:divBdr>
        </w:div>
      </w:divsChild>
    </w:div>
    <w:div w:id="19894764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int/en/treaties/african-charter-human-and-peoples-rights?utm_source=chatgpt.com" TargetMode="External"/><Relationship Id="rId18" Type="http://schemas.openxmlformats.org/officeDocument/2006/relationships/hyperlink" Target="https://verfassungsblog.de/pangloss-in-brussels/?utm_source=chatgpt.com" TargetMode="External"/><Relationship Id="rId26" Type="http://schemas.openxmlformats.org/officeDocument/2006/relationships/hyperlink" Target="https://www.amnesty.eu/news/council-of-europe-declaration-on-migration-paves-way-for-two-tier-human-rights-system-what-you-need-to-know/?utm_source=chatgpt.com" TargetMode="External"/><Relationship Id="rId3" Type="http://schemas.openxmlformats.org/officeDocument/2006/relationships/customXml" Target="../customXml/item3.xml"/><Relationship Id="rId21" Type="http://schemas.openxmlformats.org/officeDocument/2006/relationships/hyperlink" Target="https://www.coe.int/en/web/commissioner/-/refute-the-critics-human-rights-are-europe-s-greatest-strategic-asset" TargetMode="External"/><Relationship Id="rId7" Type="http://schemas.openxmlformats.org/officeDocument/2006/relationships/settings" Target="settings.xml"/><Relationship Id="rId12" Type="http://schemas.openxmlformats.org/officeDocument/2006/relationships/hyperlink" Target="https://www.un.org/fr/universal-declaration-human-rights/" TargetMode="External"/><Relationship Id="rId17" Type="http://schemas.openxmlformats.org/officeDocument/2006/relationships/hyperlink" Target="https://commission.europa.eu/publications/2026-rule-law-report-communication-and-country-chapters_en?utm_source=chatgpt.com" TargetMode="External"/><Relationship Id="rId25" Type="http://schemas.openxmlformats.org/officeDocument/2006/relationships/hyperlink" Target="https://ukandeu.ac.uk/will-the-chisinau-declaration-on-the-echr-and-migration-make-any-difference/?utm_source=chatgpt.com" TargetMode="External"/><Relationship Id="rId2" Type="http://schemas.openxmlformats.org/officeDocument/2006/relationships/customXml" Target="../customXml/item2.xml"/><Relationship Id="rId16" Type="http://schemas.openxmlformats.org/officeDocument/2006/relationships/hyperlink" Target="https://www.journalofdemocracy.org/articles/explaining-eastern-europe-the-crisis-of-liberalism/" TargetMode="External"/><Relationship Id="rId20" Type="http://schemas.openxmlformats.org/officeDocument/2006/relationships/hyperlink" Target="https://rm.coe.int/copenhagen-declaration/16807b915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oe.int/en/web/commissioner/-/attacks-on-the-hr-of-migrants-put-all-our-rights-at-risk?utm_source=chatgpt.com" TargetMode="External"/><Relationship Id="rId5" Type="http://schemas.openxmlformats.org/officeDocument/2006/relationships/numbering" Target="numbering.xml"/><Relationship Id="rId15" Type="http://schemas.openxmlformats.org/officeDocument/2006/relationships/hyperlink" Target="https://2015-2019.kormany.hu/en/the-prime-minister/the-prime-minister-s-speeches/prime-minister-viktor-orban-s-speech-at-the-25th-balvanyos-summer-free-university-and-student-camp" TargetMode="External"/><Relationship Id="rId23" Type="http://schemas.openxmlformats.org/officeDocument/2006/relationships/hyperlink" Target="https://rm.coe.int/pdf/09125948802bc2cc"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uroparl.europa.eu/thinktank/en/document/EPRS_BRI%282026%29789301?utm_source=chatgp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roit.cairn.info/revue-pouvoirs-2009-2-page-77?lang=fr&amp;utm_source=chatgpt.com" TargetMode="External"/><Relationship Id="rId22" Type="http://schemas.openxmlformats.org/officeDocument/2006/relationships/hyperlink" Target="https://echrblog.com/nine-states-call-for-open-minded-conversation-on-echr-and-migration/?utm_source=chatgpt.com" TargetMode="External"/><Relationship Id="rId27" Type="http://schemas.openxmlformats.org/officeDocument/2006/relationships/hyperlink" Target="https://www.ohchr.org/en/press-releases/2026/06/chisinau-declaration-risks-weakening-protections-migrants-undermines?utm_source=chatgpt.com"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7FAFCF4EBB74C8E7012BC654BF451" ma:contentTypeVersion="19" ma:contentTypeDescription="Create a new document." ma:contentTypeScope="" ma:versionID="905db0e59b67c559b2add493f58b2bf9">
  <xsd:schema xmlns:xsd="http://www.w3.org/2001/XMLSchema" xmlns:xs="http://www.w3.org/2001/XMLSchema" xmlns:p="http://schemas.microsoft.com/office/2006/metadata/properties" xmlns:ns2="df2dd588-760f-4872-a6fa-1a1a353e1963" xmlns:ns3="0c47498c-edbb-49da-a0e5-13e255f33e87" targetNamespace="http://schemas.microsoft.com/office/2006/metadata/properties" ma:root="true" ma:fieldsID="5803efde0ab20906dc20cdec27f76dd0" ns2:_="" ns3:_="">
    <xsd:import namespace="df2dd588-760f-4872-a6fa-1a1a353e1963"/>
    <xsd:import namespace="0c47498c-edbb-49da-a0e5-13e255f33e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2dd588-760f-4872-a6fa-1a1a353e1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69eed6-b9ab-4389-ac48-e2db2bd2798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47498c-edbb-49da-a0e5-13e255f33e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7cd9464-13ed-470f-a77a-a6c2bd67a0ed}" ma:internalName="TaxCatchAll" ma:showField="CatchAllData" ma:web="0c47498c-edbb-49da-a0e5-13e255f33e8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2dd588-760f-4872-a6fa-1a1a353e1963">
      <Terms xmlns="http://schemas.microsoft.com/office/infopath/2007/PartnerControls"/>
    </lcf76f155ced4ddcb4097134ff3c332f>
    <TaxCatchAll xmlns="0c47498c-edbb-49da-a0e5-13e255f33e8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E83FA-3B23-486D-A28B-CD019178D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2dd588-760f-4872-a6fa-1a1a353e1963"/>
    <ds:schemaRef ds:uri="0c47498c-edbb-49da-a0e5-13e255f33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9205FF-7496-496C-B4F5-8A27FB83F82F}">
  <ds:schemaRefs>
    <ds:schemaRef ds:uri="http://schemas.microsoft.com/office/2006/metadata/properties"/>
    <ds:schemaRef ds:uri="http://schemas.microsoft.com/office/infopath/2007/PartnerControls"/>
    <ds:schemaRef ds:uri="df2dd588-760f-4872-a6fa-1a1a353e1963"/>
    <ds:schemaRef ds:uri="0c47498c-edbb-49da-a0e5-13e255f33e87"/>
  </ds:schemaRefs>
</ds:datastoreItem>
</file>

<file path=customXml/itemProps3.xml><?xml version="1.0" encoding="utf-8"?>
<ds:datastoreItem xmlns:ds="http://schemas.openxmlformats.org/officeDocument/2006/customXml" ds:itemID="{92F82D74-6ABF-2A41-8169-62A8416DB087}">
  <ds:schemaRefs>
    <ds:schemaRef ds:uri="http://schemas.openxmlformats.org/officeDocument/2006/bibliography"/>
  </ds:schemaRefs>
</ds:datastoreItem>
</file>

<file path=customXml/itemProps4.xml><?xml version="1.0" encoding="utf-8"?>
<ds:datastoreItem xmlns:ds="http://schemas.openxmlformats.org/officeDocument/2006/customXml" ds:itemID="{A4684BDA-7B62-49D5-8016-88AF83B619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1890</Words>
  <Characters>10773</Characters>
  <Application>Microsoft Office Word</Application>
  <DocSecurity>0</DocSecurity>
  <Lines>89</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SABOURI Anahita</dc:creator>
  <cp:lastModifiedBy>DECKMYN Annelies</cp:lastModifiedBy>
  <cp:revision>2</cp:revision>
  <cp:lastPrinted>2019-10-08T09:42:00Z</cp:lastPrinted>
  <dcterms:created xsi:type="dcterms:W3CDTF">2026-09-07T09:36:00Z</dcterms:created>
  <dcterms:modified xsi:type="dcterms:W3CDTF">2026-09-07T09:36:00Z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0x0101001C87FAFCF4EBB74C8E7012BC654BF451</vt:lpwstr>
  </property>
</Properties>
</file>