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FB" w:rsidRPr="0001132D" w:rsidRDefault="009561FB">
      <w:pPr>
        <w:rPr>
          <w:lang w:val="fr-BE"/>
        </w:rPr>
      </w:pPr>
    </w:p>
    <w:tbl>
      <w:tblPr>
        <w:tblStyle w:val="TableGrid"/>
        <w:tblW w:w="10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06"/>
      </w:tblGrid>
      <w:tr w:rsidR="009561FB" w:rsidRPr="00E8462F" w:rsidTr="00881760">
        <w:trPr>
          <w:trHeight w:val="1174"/>
        </w:trPr>
        <w:tc>
          <w:tcPr>
            <w:tcW w:w="5495" w:type="dxa"/>
          </w:tcPr>
          <w:p w:rsidR="009561FB" w:rsidRPr="0001132D" w:rsidRDefault="009561FB" w:rsidP="009561FB">
            <w:pPr>
              <w:jc w:val="both"/>
              <w:rPr>
                <w:sz w:val="18"/>
                <w:szCs w:val="18"/>
                <w:lang w:val="fr-BE"/>
              </w:rPr>
            </w:pPr>
            <w:r w:rsidRPr="0001132D">
              <w:rPr>
                <w:noProof/>
                <w:sz w:val="18"/>
                <w:szCs w:val="18"/>
              </w:rPr>
              <w:drawing>
                <wp:inline distT="0" distB="0" distL="0" distR="0" wp14:anchorId="38FA020F" wp14:editId="6A2DB910">
                  <wp:extent cx="1935480" cy="685800"/>
                  <wp:effectExtent l="19050" t="0" r="7620" b="0"/>
                  <wp:docPr id="4" name="Image 1" descr="brugge_nat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gge_natolin"/>
                          <pic:cNvPicPr>
                            <a:picLocks noChangeAspect="1" noChangeArrowheads="1"/>
                          </pic:cNvPicPr>
                        </pic:nvPicPr>
                        <pic:blipFill>
                          <a:blip r:embed="rId8" cstate="print"/>
                          <a:srcRect/>
                          <a:stretch>
                            <a:fillRect/>
                          </a:stretch>
                        </pic:blipFill>
                        <pic:spPr bwMode="auto">
                          <a:xfrm>
                            <a:off x="0" y="0"/>
                            <a:ext cx="1935480" cy="685800"/>
                          </a:xfrm>
                          <a:prstGeom prst="rect">
                            <a:avLst/>
                          </a:prstGeom>
                          <a:noFill/>
                          <a:ln w="9525">
                            <a:noFill/>
                            <a:miter lim="800000"/>
                            <a:headEnd/>
                            <a:tailEnd/>
                          </a:ln>
                        </pic:spPr>
                      </pic:pic>
                    </a:graphicData>
                  </a:graphic>
                </wp:inline>
              </w:drawing>
            </w:r>
          </w:p>
          <w:p w:rsidR="009561FB" w:rsidRPr="0001132D" w:rsidRDefault="009561FB" w:rsidP="009561FB">
            <w:pPr>
              <w:jc w:val="both"/>
              <w:rPr>
                <w:sz w:val="18"/>
                <w:szCs w:val="18"/>
                <w:lang w:val="fr-BE"/>
              </w:rPr>
            </w:pPr>
          </w:p>
        </w:tc>
        <w:tc>
          <w:tcPr>
            <w:tcW w:w="4606" w:type="dxa"/>
          </w:tcPr>
          <w:p w:rsidR="009561FB" w:rsidRPr="0001132D" w:rsidRDefault="009561FB" w:rsidP="00BA186F">
            <w:pPr>
              <w:rPr>
                <w:sz w:val="18"/>
                <w:szCs w:val="18"/>
                <w:lang w:val="fr-BE"/>
              </w:rPr>
            </w:pPr>
            <w:r w:rsidRPr="0001132D">
              <w:rPr>
                <w:sz w:val="18"/>
                <w:szCs w:val="18"/>
                <w:lang w:val="fr-BE"/>
              </w:rPr>
              <w:t>Département d’études juridiques e</w:t>
            </w:r>
            <w:r w:rsidR="003A2246" w:rsidRPr="0001132D">
              <w:rPr>
                <w:sz w:val="18"/>
                <w:szCs w:val="18"/>
                <w:lang w:val="fr-BE"/>
              </w:rPr>
              <w:t>uropéennes</w:t>
            </w:r>
            <w:r w:rsidR="003A2246" w:rsidRPr="0001132D">
              <w:rPr>
                <w:sz w:val="18"/>
                <w:szCs w:val="18"/>
                <w:lang w:val="fr-BE"/>
              </w:rPr>
              <w:br/>
              <w:t>Année académique 201</w:t>
            </w:r>
            <w:r w:rsidR="00362CE4">
              <w:rPr>
                <w:sz w:val="18"/>
                <w:szCs w:val="18"/>
                <w:lang w:val="fr-BE"/>
              </w:rPr>
              <w:t>7</w:t>
            </w:r>
            <w:r w:rsidR="003A2246" w:rsidRPr="0001132D">
              <w:rPr>
                <w:sz w:val="18"/>
                <w:szCs w:val="18"/>
                <w:lang w:val="fr-BE"/>
              </w:rPr>
              <w:t>-201</w:t>
            </w:r>
            <w:r w:rsidR="00362CE4">
              <w:rPr>
                <w:sz w:val="18"/>
                <w:szCs w:val="18"/>
                <w:lang w:val="fr-BE"/>
              </w:rPr>
              <w:t>8</w:t>
            </w:r>
            <w:r w:rsidRPr="0001132D">
              <w:rPr>
                <w:sz w:val="18"/>
                <w:szCs w:val="18"/>
                <w:lang w:val="fr-BE"/>
              </w:rPr>
              <w:br/>
              <w:t>Professeur : D. HANF</w:t>
            </w:r>
            <w:r w:rsidRPr="0001132D">
              <w:rPr>
                <w:sz w:val="18"/>
                <w:szCs w:val="18"/>
                <w:lang w:val="fr-BE"/>
              </w:rPr>
              <w:br/>
              <w:t xml:space="preserve">Assistant : </w:t>
            </w:r>
            <w:r w:rsidR="00BA186F">
              <w:rPr>
                <w:sz w:val="18"/>
                <w:szCs w:val="18"/>
                <w:lang w:val="fr-BE"/>
              </w:rPr>
              <w:t>F</w:t>
            </w:r>
            <w:r w:rsidRPr="0001132D">
              <w:rPr>
                <w:sz w:val="18"/>
                <w:szCs w:val="18"/>
                <w:lang w:val="fr-BE"/>
              </w:rPr>
              <w:t xml:space="preserve">. </w:t>
            </w:r>
            <w:r w:rsidR="00BA186F">
              <w:rPr>
                <w:sz w:val="18"/>
                <w:szCs w:val="18"/>
                <w:lang w:val="fr-BE"/>
              </w:rPr>
              <w:t>RISTUCCIA</w:t>
            </w:r>
          </w:p>
        </w:tc>
      </w:tr>
    </w:tbl>
    <w:p w:rsidR="00C60A97" w:rsidRPr="0001132D" w:rsidRDefault="00C60A97" w:rsidP="009561FB">
      <w:pPr>
        <w:jc w:val="both"/>
        <w:rPr>
          <w:sz w:val="18"/>
          <w:szCs w:val="18"/>
          <w:lang w:val="fr-BE"/>
        </w:rPr>
      </w:pPr>
    </w:p>
    <w:p w:rsidR="00AD2411" w:rsidRPr="0001132D" w:rsidRDefault="00AD2411" w:rsidP="009561FB">
      <w:pPr>
        <w:jc w:val="both"/>
        <w:rPr>
          <w:sz w:val="18"/>
          <w:szCs w:val="18"/>
          <w:lang w:val="fr-BE"/>
        </w:rPr>
      </w:pPr>
    </w:p>
    <w:p w:rsidR="00C60A97" w:rsidRPr="0001132D" w:rsidRDefault="00C60A97" w:rsidP="00C60A97">
      <w:pPr>
        <w:pStyle w:val="Title"/>
        <w:jc w:val="center"/>
        <w:rPr>
          <w:sz w:val="40"/>
          <w:lang w:val="fr-BE"/>
        </w:rPr>
      </w:pPr>
      <w:r w:rsidRPr="0001132D">
        <w:rPr>
          <w:sz w:val="40"/>
          <w:lang w:val="fr-BE"/>
        </w:rPr>
        <w:t>Droit constitutionnel de l’Union européenne</w:t>
      </w:r>
    </w:p>
    <w:p w:rsidR="00C60A97" w:rsidRPr="0001132D" w:rsidRDefault="00AD2411" w:rsidP="00AD2411">
      <w:pPr>
        <w:pStyle w:val="Heading2"/>
        <w:jc w:val="center"/>
        <w:rPr>
          <w:lang w:val="fr-BE"/>
        </w:rPr>
      </w:pPr>
      <w:r w:rsidRPr="0001132D">
        <w:rPr>
          <w:lang w:val="fr-BE"/>
        </w:rPr>
        <w:t>Aperçu du cours</w:t>
      </w:r>
    </w:p>
    <w:p w:rsidR="00AD2411" w:rsidRPr="0001132D" w:rsidRDefault="00AD2411" w:rsidP="00AD2411">
      <w:pPr>
        <w:rPr>
          <w:lang w:val="fr-BE"/>
        </w:rPr>
      </w:pPr>
    </w:p>
    <w:p w:rsidR="00AD2411" w:rsidRPr="0001132D" w:rsidRDefault="00AD2411" w:rsidP="00AD2411">
      <w:pPr>
        <w:spacing w:after="120" w:line="240" w:lineRule="auto"/>
        <w:rPr>
          <w:b/>
          <w:lang w:val="fr-BE"/>
        </w:rPr>
      </w:pPr>
    </w:p>
    <w:p w:rsidR="00C60A97" w:rsidRPr="0001132D" w:rsidRDefault="00C60A97" w:rsidP="00AD2411">
      <w:pPr>
        <w:spacing w:after="120" w:line="240" w:lineRule="auto"/>
        <w:ind w:left="708"/>
        <w:rPr>
          <w:lang w:val="fr-BE"/>
        </w:rPr>
      </w:pPr>
      <w:r w:rsidRPr="0001132D">
        <w:rPr>
          <w:b/>
          <w:lang w:val="fr-BE"/>
        </w:rPr>
        <w:t>0.</w:t>
      </w:r>
      <w:r w:rsidRPr="0001132D">
        <w:rPr>
          <w:b/>
          <w:lang w:val="fr-BE"/>
        </w:rPr>
        <w:tab/>
        <w:t>Introduction</w:t>
      </w:r>
      <w:r w:rsidRPr="0001132D">
        <w:rPr>
          <w:lang w:val="fr-BE"/>
        </w:rPr>
        <w:t xml:space="preserve"> (</w:t>
      </w:r>
      <w:r w:rsidR="0001132D" w:rsidRPr="0001132D">
        <w:rPr>
          <w:lang w:val="fr-BE"/>
        </w:rPr>
        <w:t xml:space="preserve">aperçu </w:t>
      </w:r>
      <w:r w:rsidRPr="0001132D">
        <w:rPr>
          <w:lang w:val="fr-BE"/>
        </w:rPr>
        <w:t>historique)</w:t>
      </w:r>
    </w:p>
    <w:p w:rsidR="00AD2411" w:rsidRPr="0001132D" w:rsidRDefault="00AD2411" w:rsidP="00AD2411">
      <w:pPr>
        <w:spacing w:after="120" w:line="240" w:lineRule="auto"/>
        <w:ind w:left="708"/>
        <w:rPr>
          <w:b/>
          <w:lang w:val="fr-BE"/>
        </w:rPr>
      </w:pPr>
    </w:p>
    <w:p w:rsidR="00C60A97" w:rsidRPr="0001132D" w:rsidRDefault="00C60A97" w:rsidP="00AD2411">
      <w:pPr>
        <w:pStyle w:val="ListParagraph"/>
        <w:numPr>
          <w:ilvl w:val="0"/>
          <w:numId w:val="1"/>
        </w:numPr>
        <w:spacing w:after="120" w:line="240" w:lineRule="auto"/>
        <w:ind w:left="1428"/>
        <w:rPr>
          <w:b/>
          <w:lang w:val="fr-BE"/>
        </w:rPr>
      </w:pPr>
      <w:r w:rsidRPr="0001132D">
        <w:rPr>
          <w:b/>
          <w:lang w:val="fr-BE"/>
        </w:rPr>
        <w:t>Le droit institutionnel de l’Union européenne</w:t>
      </w:r>
      <w:r w:rsidRPr="0001132D">
        <w:rPr>
          <w:b/>
          <w:lang w:val="fr-BE"/>
        </w:rPr>
        <w:br/>
      </w:r>
    </w:p>
    <w:p w:rsidR="00C60A97" w:rsidRPr="0001132D" w:rsidRDefault="00C60A97" w:rsidP="00AD2411">
      <w:pPr>
        <w:pStyle w:val="ListParagraph"/>
        <w:numPr>
          <w:ilvl w:val="0"/>
          <w:numId w:val="2"/>
        </w:numPr>
        <w:spacing w:after="0" w:line="240" w:lineRule="auto"/>
        <w:ind w:left="1774" w:hanging="357"/>
        <w:rPr>
          <w:i/>
          <w:color w:val="7F7F7F" w:themeColor="text1" w:themeTint="80"/>
          <w:lang w:val="fr-BE"/>
        </w:rPr>
      </w:pPr>
      <w:r w:rsidRPr="0001132D">
        <w:rPr>
          <w:i/>
          <w:color w:val="7F7F7F" w:themeColor="text1" w:themeTint="80"/>
          <w:lang w:val="fr-BE"/>
        </w:rPr>
        <w:t>Les institutions : composition, organisation, attributions</w:t>
      </w:r>
    </w:p>
    <w:p w:rsidR="00C60A97" w:rsidRPr="0001132D" w:rsidRDefault="00C60A97" w:rsidP="00AD2411">
      <w:pPr>
        <w:pStyle w:val="ListParagraph"/>
        <w:numPr>
          <w:ilvl w:val="0"/>
          <w:numId w:val="2"/>
        </w:numPr>
        <w:spacing w:after="0" w:line="240" w:lineRule="auto"/>
        <w:ind w:left="1774" w:hanging="357"/>
        <w:rPr>
          <w:i/>
          <w:color w:val="7F7F7F" w:themeColor="text1" w:themeTint="80"/>
          <w:lang w:val="fr-BE"/>
        </w:rPr>
      </w:pPr>
      <w:r w:rsidRPr="0001132D">
        <w:rPr>
          <w:i/>
          <w:color w:val="7F7F7F" w:themeColor="text1" w:themeTint="80"/>
          <w:lang w:val="fr-BE"/>
        </w:rPr>
        <w:t>Les procédures de prise de décision</w:t>
      </w:r>
    </w:p>
    <w:p w:rsidR="00C60A97" w:rsidRPr="0001132D" w:rsidRDefault="00C60A97" w:rsidP="00AD2411">
      <w:pPr>
        <w:pStyle w:val="ListParagraph"/>
        <w:numPr>
          <w:ilvl w:val="0"/>
          <w:numId w:val="2"/>
        </w:numPr>
        <w:spacing w:after="0" w:line="240" w:lineRule="auto"/>
        <w:ind w:left="1774" w:hanging="357"/>
        <w:rPr>
          <w:i/>
          <w:lang w:val="fr-BE"/>
        </w:rPr>
      </w:pPr>
      <w:r w:rsidRPr="0001132D">
        <w:rPr>
          <w:i/>
          <w:lang w:val="fr-BE"/>
        </w:rPr>
        <w:t>Les rapports (« horizontaux ») entre les institutions</w:t>
      </w:r>
    </w:p>
    <w:p w:rsidR="00C60A97" w:rsidRPr="0001132D" w:rsidRDefault="00C60A97" w:rsidP="00AD2411">
      <w:pPr>
        <w:pStyle w:val="ListParagraph"/>
        <w:numPr>
          <w:ilvl w:val="0"/>
          <w:numId w:val="2"/>
        </w:numPr>
        <w:spacing w:after="0" w:line="240" w:lineRule="auto"/>
        <w:ind w:left="1774" w:hanging="357"/>
        <w:rPr>
          <w:i/>
          <w:lang w:val="fr-BE"/>
        </w:rPr>
      </w:pPr>
      <w:r w:rsidRPr="0001132D">
        <w:rPr>
          <w:i/>
          <w:lang w:val="fr-BE"/>
        </w:rPr>
        <w:t>Les rapports (« verticaux ») entre l’Union et ses Etats membres</w:t>
      </w:r>
    </w:p>
    <w:p w:rsidR="00C60A97" w:rsidRPr="0001132D" w:rsidRDefault="00C60A97" w:rsidP="00AD2411">
      <w:pPr>
        <w:pStyle w:val="ListParagraph"/>
        <w:numPr>
          <w:ilvl w:val="0"/>
          <w:numId w:val="2"/>
        </w:numPr>
        <w:spacing w:after="0" w:line="240" w:lineRule="auto"/>
        <w:ind w:left="1774" w:hanging="357"/>
        <w:rPr>
          <w:i/>
          <w:lang w:val="fr-BE"/>
        </w:rPr>
      </w:pPr>
      <w:r w:rsidRPr="0001132D">
        <w:rPr>
          <w:i/>
          <w:lang w:val="fr-BE"/>
        </w:rPr>
        <w:t>Les caractéristiques principales du droit de l’Union</w:t>
      </w:r>
    </w:p>
    <w:p w:rsidR="00C60A97" w:rsidRPr="0001132D" w:rsidRDefault="00C60A97" w:rsidP="00AD2411">
      <w:pPr>
        <w:pStyle w:val="ListParagraph"/>
        <w:numPr>
          <w:ilvl w:val="0"/>
          <w:numId w:val="2"/>
        </w:numPr>
        <w:spacing w:after="0" w:line="240" w:lineRule="auto"/>
        <w:ind w:left="1776"/>
        <w:rPr>
          <w:i/>
          <w:lang w:val="fr-BE"/>
        </w:rPr>
      </w:pPr>
      <w:r w:rsidRPr="0001132D">
        <w:rPr>
          <w:i/>
          <w:lang w:val="fr-BE"/>
        </w:rPr>
        <w:t>Le contrôle</w:t>
      </w:r>
      <w:r w:rsidR="0001132D">
        <w:rPr>
          <w:i/>
          <w:lang w:val="fr-BE"/>
        </w:rPr>
        <w:t xml:space="preserve"> </w:t>
      </w:r>
      <w:r w:rsidRPr="0001132D">
        <w:rPr>
          <w:i/>
          <w:lang w:val="fr-BE"/>
        </w:rPr>
        <w:t>juridictionnel</w:t>
      </w:r>
      <w:r w:rsidR="00AD2411" w:rsidRPr="0001132D">
        <w:rPr>
          <w:i/>
          <w:lang w:val="fr-BE"/>
        </w:rPr>
        <w:br/>
      </w:r>
      <w:r w:rsidRPr="0001132D">
        <w:rPr>
          <w:i/>
          <w:lang w:val="fr-BE"/>
        </w:rPr>
        <w:br/>
      </w:r>
    </w:p>
    <w:p w:rsidR="00C60A97" w:rsidRPr="0001132D" w:rsidRDefault="00C60A97" w:rsidP="00AD2411">
      <w:pPr>
        <w:pStyle w:val="ListParagraph"/>
        <w:numPr>
          <w:ilvl w:val="0"/>
          <w:numId w:val="1"/>
        </w:numPr>
        <w:spacing w:after="120" w:line="240" w:lineRule="auto"/>
        <w:ind w:left="1428"/>
        <w:rPr>
          <w:b/>
          <w:lang w:val="fr-BE"/>
        </w:rPr>
      </w:pPr>
      <w:r w:rsidRPr="0001132D">
        <w:rPr>
          <w:b/>
          <w:lang w:val="fr-BE"/>
        </w:rPr>
        <w:t>Du droit institutionnel au droit constitutionnel de l’Union européenne ?</w:t>
      </w:r>
      <w:r w:rsidRPr="0001132D">
        <w:rPr>
          <w:b/>
          <w:lang w:val="fr-BE"/>
        </w:rPr>
        <w:br/>
      </w:r>
    </w:p>
    <w:p w:rsidR="00C60A97" w:rsidRPr="0001132D" w:rsidRDefault="00C60A97" w:rsidP="00AD2411">
      <w:pPr>
        <w:pStyle w:val="ListParagraph"/>
        <w:numPr>
          <w:ilvl w:val="0"/>
          <w:numId w:val="3"/>
        </w:numPr>
        <w:spacing w:after="120" w:line="240" w:lineRule="auto"/>
        <w:ind w:left="1776"/>
        <w:rPr>
          <w:i/>
          <w:lang w:val="fr-BE"/>
        </w:rPr>
      </w:pPr>
      <w:r w:rsidRPr="0001132D">
        <w:rPr>
          <w:i/>
          <w:lang w:val="fr-BE"/>
        </w:rPr>
        <w:t>La notion de constitution dans la cadre de l’Etat-nation</w:t>
      </w:r>
    </w:p>
    <w:p w:rsidR="00C60A97" w:rsidRPr="0001132D" w:rsidRDefault="00C60A97" w:rsidP="00AD2411">
      <w:pPr>
        <w:pStyle w:val="ListParagraph"/>
        <w:numPr>
          <w:ilvl w:val="0"/>
          <w:numId w:val="3"/>
        </w:numPr>
        <w:spacing w:after="120" w:line="240" w:lineRule="auto"/>
        <w:ind w:left="1776"/>
        <w:rPr>
          <w:i/>
          <w:lang w:val="fr-BE"/>
        </w:rPr>
      </w:pPr>
      <w:r w:rsidRPr="0001132D">
        <w:rPr>
          <w:i/>
          <w:lang w:val="fr-BE"/>
        </w:rPr>
        <w:t>Traits constitutionnels du droit insti</w:t>
      </w:r>
      <w:r w:rsidR="00AD2411" w:rsidRPr="0001132D">
        <w:rPr>
          <w:i/>
          <w:lang w:val="fr-BE"/>
        </w:rPr>
        <w:t>tutionnel de l’Union européenne</w:t>
      </w:r>
    </w:p>
    <w:p w:rsidR="00C60A97" w:rsidRPr="0001132D" w:rsidRDefault="00C60A97" w:rsidP="00AD2411">
      <w:pPr>
        <w:pStyle w:val="ListParagraph"/>
        <w:numPr>
          <w:ilvl w:val="0"/>
          <w:numId w:val="3"/>
        </w:numPr>
        <w:spacing w:after="120" w:line="240" w:lineRule="auto"/>
        <w:ind w:left="1776"/>
        <w:rPr>
          <w:i/>
          <w:lang w:val="fr-BE"/>
        </w:rPr>
      </w:pPr>
      <w:r w:rsidRPr="0001132D">
        <w:rPr>
          <w:i/>
          <w:lang w:val="fr-BE"/>
        </w:rPr>
        <w:t>Une constitution sans Etat ?</w:t>
      </w:r>
      <w:r w:rsidRPr="0001132D">
        <w:rPr>
          <w:i/>
          <w:lang w:val="fr-BE"/>
        </w:rPr>
        <w:br/>
      </w:r>
      <w:r w:rsidR="00AD2411" w:rsidRPr="0001132D">
        <w:rPr>
          <w:i/>
          <w:lang w:val="fr-BE"/>
        </w:rPr>
        <w:br/>
      </w:r>
    </w:p>
    <w:p w:rsidR="00C60A97" w:rsidRPr="0001132D" w:rsidRDefault="00C60A97" w:rsidP="00AD2411">
      <w:pPr>
        <w:pStyle w:val="ListParagraph"/>
        <w:numPr>
          <w:ilvl w:val="0"/>
          <w:numId w:val="1"/>
        </w:numPr>
        <w:spacing w:after="120" w:line="240" w:lineRule="auto"/>
        <w:ind w:left="1428"/>
        <w:rPr>
          <w:b/>
          <w:lang w:val="fr-BE"/>
        </w:rPr>
      </w:pPr>
      <w:r w:rsidRPr="0001132D">
        <w:rPr>
          <w:b/>
          <w:lang w:val="fr-BE"/>
        </w:rPr>
        <w:t>Manifestations et portée de certains principes constitutionnels dans le droit de l’Union</w:t>
      </w:r>
      <w:r w:rsidRPr="0001132D">
        <w:rPr>
          <w:b/>
          <w:lang w:val="fr-BE"/>
        </w:rPr>
        <w:br/>
      </w:r>
    </w:p>
    <w:p w:rsidR="00C60A97" w:rsidRPr="0001132D" w:rsidRDefault="00C60A97" w:rsidP="00AD2411">
      <w:pPr>
        <w:pStyle w:val="ListParagraph"/>
        <w:numPr>
          <w:ilvl w:val="0"/>
          <w:numId w:val="4"/>
        </w:numPr>
        <w:spacing w:after="120" w:line="240" w:lineRule="auto"/>
        <w:ind w:left="1776"/>
        <w:rPr>
          <w:i/>
          <w:lang w:val="fr-BE"/>
        </w:rPr>
      </w:pPr>
      <w:r w:rsidRPr="0001132D">
        <w:rPr>
          <w:i/>
          <w:lang w:val="fr-BE"/>
        </w:rPr>
        <w:t xml:space="preserve">Les valeurs inscrites à l’art. 2 TUE et la révision des traités </w:t>
      </w:r>
      <w:r w:rsidR="0001132D">
        <w:rPr>
          <w:i/>
          <w:lang w:val="fr-BE"/>
        </w:rPr>
        <w:t>sur lesquels l’Union est fondée</w:t>
      </w:r>
    </w:p>
    <w:p w:rsidR="00C60A97" w:rsidRPr="0001132D" w:rsidRDefault="00C60A97" w:rsidP="00AD2411">
      <w:pPr>
        <w:pStyle w:val="ListParagraph"/>
        <w:numPr>
          <w:ilvl w:val="0"/>
          <w:numId w:val="4"/>
        </w:numPr>
        <w:spacing w:after="120" w:line="240" w:lineRule="auto"/>
        <w:ind w:left="1776"/>
        <w:rPr>
          <w:i/>
          <w:lang w:val="fr-BE"/>
        </w:rPr>
      </w:pPr>
      <w:r w:rsidRPr="0001132D">
        <w:rPr>
          <w:i/>
          <w:lang w:val="fr-BE"/>
        </w:rPr>
        <w:t>Dans</w:t>
      </w:r>
      <w:r w:rsidR="0001132D">
        <w:rPr>
          <w:i/>
          <w:lang w:val="fr-BE"/>
        </w:rPr>
        <w:t xml:space="preserve"> </w:t>
      </w:r>
      <w:r w:rsidRPr="0001132D">
        <w:rPr>
          <w:i/>
          <w:lang w:val="fr-BE"/>
        </w:rPr>
        <w:t>l’organisation « horizontale » des pouvoirs</w:t>
      </w:r>
    </w:p>
    <w:p w:rsidR="00C60A97" w:rsidRPr="0001132D" w:rsidRDefault="00C60A97" w:rsidP="00AD2411">
      <w:pPr>
        <w:pStyle w:val="ListParagraph"/>
        <w:numPr>
          <w:ilvl w:val="0"/>
          <w:numId w:val="4"/>
        </w:numPr>
        <w:spacing w:after="120" w:line="240" w:lineRule="auto"/>
        <w:ind w:left="1776"/>
        <w:rPr>
          <w:i/>
          <w:lang w:val="fr-BE"/>
        </w:rPr>
      </w:pPr>
      <w:r w:rsidRPr="0001132D">
        <w:rPr>
          <w:i/>
          <w:lang w:val="fr-BE"/>
        </w:rPr>
        <w:t>Dans les rapport</w:t>
      </w:r>
      <w:r w:rsidR="00AD2411" w:rsidRPr="0001132D">
        <w:rPr>
          <w:i/>
          <w:lang w:val="fr-BE"/>
        </w:rPr>
        <w:t>s entre l’Union et ses citoyens</w:t>
      </w:r>
    </w:p>
    <w:p w:rsidR="00C60A97" w:rsidRPr="0001132D" w:rsidRDefault="00C60A97" w:rsidP="00AD2411">
      <w:pPr>
        <w:pStyle w:val="ListParagraph"/>
        <w:numPr>
          <w:ilvl w:val="0"/>
          <w:numId w:val="4"/>
        </w:numPr>
        <w:spacing w:after="120" w:line="240" w:lineRule="auto"/>
        <w:ind w:left="1776"/>
        <w:rPr>
          <w:lang w:val="fr-BE"/>
        </w:rPr>
      </w:pPr>
      <w:r w:rsidRPr="0001132D">
        <w:rPr>
          <w:i/>
          <w:lang w:val="fr-BE"/>
        </w:rPr>
        <w:t xml:space="preserve">Dans les rapports entre l’Union et ses Etats membres </w:t>
      </w:r>
    </w:p>
    <w:p w:rsidR="00C60A97" w:rsidRPr="0001132D" w:rsidRDefault="00C60A97" w:rsidP="00AD2411">
      <w:pPr>
        <w:pStyle w:val="ListParagraph"/>
        <w:numPr>
          <w:ilvl w:val="0"/>
          <w:numId w:val="4"/>
        </w:numPr>
        <w:spacing w:after="120" w:line="240" w:lineRule="auto"/>
        <w:ind w:left="1776"/>
        <w:rPr>
          <w:lang w:val="fr-BE"/>
        </w:rPr>
      </w:pPr>
      <w:r w:rsidRPr="0001132D">
        <w:rPr>
          <w:i/>
          <w:lang w:val="fr-BE"/>
        </w:rPr>
        <w:t>Dans les rapports entre les Etats membres</w:t>
      </w:r>
      <w:r w:rsidRPr="0001132D">
        <w:rPr>
          <w:i/>
          <w:lang w:val="fr-BE"/>
        </w:rPr>
        <w:br/>
      </w:r>
      <w:r w:rsidR="00AD2411" w:rsidRPr="0001132D">
        <w:rPr>
          <w:lang w:val="fr-BE"/>
        </w:rPr>
        <w:br/>
      </w:r>
    </w:p>
    <w:p w:rsidR="00C60A97" w:rsidRPr="00443008" w:rsidRDefault="0001132D" w:rsidP="00AD2411">
      <w:pPr>
        <w:pStyle w:val="ListParagraph"/>
        <w:numPr>
          <w:ilvl w:val="0"/>
          <w:numId w:val="1"/>
        </w:numPr>
        <w:spacing w:after="120" w:line="240" w:lineRule="auto"/>
        <w:ind w:left="1428"/>
        <w:rPr>
          <w:b/>
          <w:color w:val="7F7F7F" w:themeColor="text1" w:themeTint="80"/>
          <w:lang w:val="fr-BE"/>
        </w:rPr>
      </w:pPr>
      <w:r w:rsidRPr="00443008">
        <w:rPr>
          <w:b/>
          <w:color w:val="7F7F7F" w:themeColor="text1" w:themeTint="80"/>
          <w:lang w:val="fr-BE"/>
        </w:rPr>
        <w:t xml:space="preserve">Vers un </w:t>
      </w:r>
      <w:r w:rsidR="00C60A97" w:rsidRPr="00443008">
        <w:rPr>
          <w:b/>
          <w:color w:val="7F7F7F" w:themeColor="text1" w:themeTint="80"/>
          <w:lang w:val="fr-BE"/>
        </w:rPr>
        <w:t>espace constitutionnel européen</w:t>
      </w:r>
      <w:r w:rsidRPr="00443008">
        <w:rPr>
          <w:b/>
          <w:color w:val="7F7F7F" w:themeColor="text1" w:themeTint="80"/>
          <w:lang w:val="fr-BE"/>
        </w:rPr>
        <w:t> ?</w:t>
      </w:r>
    </w:p>
    <w:p w:rsidR="00C60A97" w:rsidRPr="00443008" w:rsidRDefault="00C60A97" w:rsidP="00AD2411">
      <w:pPr>
        <w:spacing w:after="120" w:line="240" w:lineRule="auto"/>
        <w:ind w:left="1416"/>
        <w:rPr>
          <w:color w:val="7F7F7F" w:themeColor="text1" w:themeTint="80"/>
          <w:lang w:val="fr-BE"/>
        </w:rPr>
      </w:pPr>
      <w:r w:rsidRPr="00443008">
        <w:rPr>
          <w:color w:val="7F7F7F" w:themeColor="text1" w:themeTint="80"/>
          <w:lang w:val="fr-BE"/>
        </w:rPr>
        <w:t>(</w:t>
      </w:r>
      <w:r w:rsidR="0001132D" w:rsidRPr="00443008">
        <w:rPr>
          <w:color w:val="7F7F7F" w:themeColor="text1" w:themeTint="80"/>
          <w:lang w:val="fr-BE"/>
        </w:rPr>
        <w:t>Mise en perspective sommaire du droit « constitutionnel de l’Union européenne</w:t>
      </w:r>
      <w:r w:rsidR="003A2246" w:rsidRPr="00443008">
        <w:rPr>
          <w:color w:val="7F7F7F" w:themeColor="text1" w:themeTint="80"/>
          <w:lang w:val="fr-BE"/>
        </w:rPr>
        <w:t>)</w:t>
      </w:r>
    </w:p>
    <w:p w:rsidR="00C60A97" w:rsidRPr="0001132D" w:rsidRDefault="00C60A97" w:rsidP="00C60A97">
      <w:pPr>
        <w:rPr>
          <w:lang w:val="fr-BE"/>
        </w:rPr>
      </w:pPr>
    </w:p>
    <w:p w:rsidR="009561FB" w:rsidRPr="0001132D" w:rsidRDefault="009561FB" w:rsidP="009561FB">
      <w:pPr>
        <w:jc w:val="both"/>
        <w:rPr>
          <w:sz w:val="18"/>
          <w:szCs w:val="18"/>
          <w:lang w:val="fr-BE"/>
        </w:rPr>
      </w:pPr>
    </w:p>
    <w:p w:rsidR="009561FB" w:rsidRPr="0001132D" w:rsidRDefault="009561FB" w:rsidP="00D949BC">
      <w:pPr>
        <w:pStyle w:val="Title"/>
        <w:jc w:val="center"/>
        <w:rPr>
          <w:sz w:val="40"/>
          <w:lang w:val="fr-BE"/>
        </w:rPr>
      </w:pPr>
      <w:r w:rsidRPr="0001132D">
        <w:rPr>
          <w:sz w:val="40"/>
          <w:lang w:val="fr-BE"/>
        </w:rPr>
        <w:t>Droit constitutionnel de l’Union européenne</w:t>
      </w:r>
    </w:p>
    <w:p w:rsidR="009561FB" w:rsidRPr="0001132D" w:rsidRDefault="009561FB" w:rsidP="009561FB">
      <w:pPr>
        <w:pStyle w:val="Heading2"/>
        <w:jc w:val="center"/>
        <w:rPr>
          <w:lang w:val="fr-BE"/>
        </w:rPr>
      </w:pPr>
      <w:r w:rsidRPr="0001132D">
        <w:rPr>
          <w:lang w:val="fr-BE"/>
        </w:rPr>
        <w:t>Plan détaillé du cours</w:t>
      </w:r>
    </w:p>
    <w:p w:rsidR="003C2D25" w:rsidRDefault="003C2D25" w:rsidP="00661ADC">
      <w:pPr>
        <w:rPr>
          <w:b/>
          <w:lang w:val="fr-BE"/>
        </w:rPr>
      </w:pPr>
    </w:p>
    <w:p w:rsidR="00D949BC" w:rsidRPr="0001132D" w:rsidRDefault="00661ADC" w:rsidP="00661ADC">
      <w:pPr>
        <w:rPr>
          <w:b/>
          <w:lang w:val="fr-BE"/>
        </w:rPr>
      </w:pPr>
      <w:r w:rsidRPr="0001132D">
        <w:rPr>
          <w:b/>
          <w:lang w:val="fr-BE"/>
        </w:rPr>
        <w:t>0.</w:t>
      </w:r>
      <w:r w:rsidRPr="0001132D">
        <w:rPr>
          <w:b/>
          <w:lang w:val="fr-BE"/>
        </w:rPr>
        <w:tab/>
      </w:r>
      <w:r w:rsidR="00BD3D81" w:rsidRPr="0001132D">
        <w:rPr>
          <w:b/>
          <w:lang w:val="fr-BE"/>
        </w:rPr>
        <w:t>Introduction</w:t>
      </w:r>
      <w:r w:rsidR="00BD3D81" w:rsidRPr="0001132D">
        <w:rPr>
          <w:lang w:val="fr-BE"/>
        </w:rPr>
        <w:t xml:space="preserve"> (aperçu historique)</w:t>
      </w:r>
    </w:p>
    <w:p w:rsidR="00BD3D81" w:rsidRPr="0001132D" w:rsidRDefault="00BD3D81" w:rsidP="00BD3D81">
      <w:pPr>
        <w:ind w:left="708"/>
        <w:rPr>
          <w:lang w:val="fr-BE"/>
        </w:rPr>
      </w:pPr>
      <w:r w:rsidRPr="0001132D">
        <w:rPr>
          <w:lang w:val="fr-BE"/>
        </w:rPr>
        <w:t xml:space="preserve">Le développement des « deux Europe » – raisons d’être – structures institutionnelles </w:t>
      </w:r>
      <w:r w:rsidRPr="0001132D">
        <w:rPr>
          <w:lang w:val="fr-BE"/>
        </w:rPr>
        <w:softHyphen/>
        <w:t>– évolution – impact sur le système institutionnel et juridique actuel de l’Union européenne</w:t>
      </w:r>
    </w:p>
    <w:p w:rsidR="00DE28D9" w:rsidRPr="0001132D" w:rsidRDefault="00DE28D9" w:rsidP="00BD3D81">
      <w:pPr>
        <w:ind w:left="708"/>
        <w:rPr>
          <w:lang w:val="fr-BE"/>
        </w:rPr>
      </w:pPr>
    </w:p>
    <w:p w:rsidR="00BD3D81" w:rsidRPr="0001132D" w:rsidRDefault="00D949BC" w:rsidP="00AD2411">
      <w:pPr>
        <w:pStyle w:val="ListParagraph"/>
        <w:numPr>
          <w:ilvl w:val="0"/>
          <w:numId w:val="11"/>
        </w:numPr>
        <w:rPr>
          <w:b/>
          <w:lang w:val="fr-BE"/>
        </w:rPr>
      </w:pPr>
      <w:r w:rsidRPr="0001132D">
        <w:rPr>
          <w:b/>
          <w:lang w:val="fr-BE"/>
        </w:rPr>
        <w:t>Le droit institutionnel de l’Union</w:t>
      </w:r>
      <w:r w:rsidR="00D90C51" w:rsidRPr="0001132D">
        <w:rPr>
          <w:b/>
          <w:lang w:val="fr-BE"/>
        </w:rPr>
        <w:t xml:space="preserve"> européenne</w:t>
      </w:r>
      <w:r w:rsidR="00BD3D81" w:rsidRPr="0001132D">
        <w:rPr>
          <w:b/>
          <w:lang w:val="fr-BE"/>
        </w:rPr>
        <w:br/>
      </w:r>
    </w:p>
    <w:p w:rsidR="00D949BC" w:rsidRPr="0001132D" w:rsidRDefault="00D90C51" w:rsidP="00AD2411">
      <w:pPr>
        <w:pStyle w:val="ListParagraph"/>
        <w:numPr>
          <w:ilvl w:val="0"/>
          <w:numId w:val="12"/>
        </w:numPr>
        <w:spacing w:before="240"/>
        <w:rPr>
          <w:i/>
          <w:color w:val="7F7F7F" w:themeColor="text1" w:themeTint="80"/>
          <w:lang w:val="fr-BE"/>
        </w:rPr>
      </w:pPr>
      <w:r w:rsidRPr="0001132D">
        <w:rPr>
          <w:i/>
          <w:color w:val="7F7F7F" w:themeColor="text1" w:themeTint="80"/>
          <w:lang w:val="fr-BE"/>
        </w:rPr>
        <w:t xml:space="preserve">Les institutions : composition, </w:t>
      </w:r>
      <w:r w:rsidR="00BD3D81" w:rsidRPr="0001132D">
        <w:rPr>
          <w:i/>
          <w:color w:val="7F7F7F" w:themeColor="text1" w:themeTint="80"/>
          <w:lang w:val="fr-BE"/>
        </w:rPr>
        <w:t xml:space="preserve">organisation, </w:t>
      </w:r>
      <w:r w:rsidRPr="0001132D">
        <w:rPr>
          <w:i/>
          <w:color w:val="7F7F7F" w:themeColor="text1" w:themeTint="80"/>
          <w:lang w:val="fr-BE"/>
        </w:rPr>
        <w:t>attributions</w:t>
      </w:r>
      <w:r w:rsidR="00DB061C" w:rsidRPr="0001132D">
        <w:rPr>
          <w:i/>
          <w:color w:val="7F7F7F" w:themeColor="text1" w:themeTint="80"/>
          <w:lang w:val="fr-BE"/>
        </w:rPr>
        <w:br/>
      </w:r>
    </w:p>
    <w:p w:rsidR="00BD3D81" w:rsidRPr="0001132D" w:rsidRDefault="00BD3D81" w:rsidP="00AD2411">
      <w:pPr>
        <w:pStyle w:val="ListParagraph"/>
        <w:numPr>
          <w:ilvl w:val="1"/>
          <w:numId w:val="12"/>
        </w:numPr>
        <w:spacing w:before="240"/>
        <w:rPr>
          <w:color w:val="7F7F7F" w:themeColor="text1" w:themeTint="80"/>
          <w:lang w:val="fr-BE"/>
        </w:rPr>
      </w:pPr>
      <w:r w:rsidRPr="0001132D">
        <w:rPr>
          <w:color w:val="7F7F7F" w:themeColor="text1" w:themeTint="80"/>
          <w:lang w:val="fr-BE"/>
        </w:rPr>
        <w:t>Le Conseil</w:t>
      </w:r>
      <w:r w:rsidR="0001132D">
        <w:rPr>
          <w:color w:val="7F7F7F" w:themeColor="text1" w:themeTint="80"/>
          <w:lang w:val="fr-BE"/>
        </w:rPr>
        <w:t xml:space="preserve"> </w:t>
      </w:r>
      <w:r w:rsidRPr="0001132D">
        <w:rPr>
          <w:color w:val="7F7F7F" w:themeColor="text1" w:themeTint="80"/>
          <w:lang w:val="fr-BE"/>
        </w:rPr>
        <w:t>européen</w:t>
      </w:r>
    </w:p>
    <w:p w:rsidR="00BD3D81" w:rsidRPr="0001132D" w:rsidRDefault="00BD3D81" w:rsidP="00AD2411">
      <w:pPr>
        <w:pStyle w:val="ListParagraph"/>
        <w:numPr>
          <w:ilvl w:val="1"/>
          <w:numId w:val="12"/>
        </w:numPr>
        <w:spacing w:before="240"/>
        <w:rPr>
          <w:color w:val="7F7F7F" w:themeColor="text1" w:themeTint="80"/>
          <w:lang w:val="fr-BE"/>
        </w:rPr>
      </w:pPr>
      <w:r w:rsidRPr="0001132D">
        <w:rPr>
          <w:color w:val="7F7F7F" w:themeColor="text1" w:themeTint="80"/>
          <w:lang w:val="fr-BE"/>
        </w:rPr>
        <w:t>Le Conseil</w:t>
      </w:r>
    </w:p>
    <w:p w:rsidR="00BD3D81" w:rsidRPr="0001132D" w:rsidRDefault="00BD3D81" w:rsidP="00AD2411">
      <w:pPr>
        <w:pStyle w:val="ListParagraph"/>
        <w:numPr>
          <w:ilvl w:val="1"/>
          <w:numId w:val="12"/>
        </w:numPr>
        <w:spacing w:before="240"/>
        <w:rPr>
          <w:color w:val="7F7F7F" w:themeColor="text1" w:themeTint="80"/>
          <w:lang w:val="fr-BE"/>
        </w:rPr>
      </w:pPr>
      <w:r w:rsidRPr="0001132D">
        <w:rPr>
          <w:color w:val="7F7F7F" w:themeColor="text1" w:themeTint="80"/>
          <w:lang w:val="fr-BE"/>
        </w:rPr>
        <w:t>La Commission</w:t>
      </w:r>
    </w:p>
    <w:p w:rsidR="00BD3D81" w:rsidRPr="0001132D" w:rsidRDefault="00BD3D81" w:rsidP="00AD2411">
      <w:pPr>
        <w:pStyle w:val="ListParagraph"/>
        <w:numPr>
          <w:ilvl w:val="1"/>
          <w:numId w:val="12"/>
        </w:numPr>
        <w:spacing w:before="240"/>
        <w:rPr>
          <w:color w:val="7F7F7F" w:themeColor="text1" w:themeTint="80"/>
          <w:lang w:val="fr-BE"/>
        </w:rPr>
      </w:pPr>
      <w:r w:rsidRPr="0001132D">
        <w:rPr>
          <w:color w:val="7F7F7F" w:themeColor="text1" w:themeTint="80"/>
          <w:lang w:val="fr-BE"/>
        </w:rPr>
        <w:t>Le Parlement</w:t>
      </w:r>
    </w:p>
    <w:p w:rsidR="00BD3D81" w:rsidRPr="0001132D" w:rsidRDefault="00BD3D81" w:rsidP="00AD2411">
      <w:pPr>
        <w:pStyle w:val="ListParagraph"/>
        <w:numPr>
          <w:ilvl w:val="1"/>
          <w:numId w:val="12"/>
        </w:numPr>
        <w:spacing w:before="240"/>
        <w:rPr>
          <w:color w:val="7F7F7F" w:themeColor="text1" w:themeTint="80"/>
          <w:lang w:val="fr-BE"/>
        </w:rPr>
      </w:pPr>
      <w:r w:rsidRPr="0001132D">
        <w:rPr>
          <w:color w:val="7F7F7F" w:themeColor="text1" w:themeTint="80"/>
          <w:lang w:val="fr-BE"/>
        </w:rPr>
        <w:t>La Cour de justice de l’Union européenne</w:t>
      </w:r>
    </w:p>
    <w:p w:rsidR="00BD3D81" w:rsidRPr="0001132D" w:rsidRDefault="00BD3D81" w:rsidP="00AD2411">
      <w:pPr>
        <w:pStyle w:val="ListParagraph"/>
        <w:numPr>
          <w:ilvl w:val="1"/>
          <w:numId w:val="12"/>
        </w:numPr>
        <w:spacing w:before="240"/>
        <w:rPr>
          <w:color w:val="7F7F7F" w:themeColor="text1" w:themeTint="80"/>
          <w:lang w:val="fr-BE"/>
        </w:rPr>
      </w:pPr>
      <w:r w:rsidRPr="0001132D">
        <w:rPr>
          <w:color w:val="7F7F7F" w:themeColor="text1" w:themeTint="80"/>
          <w:lang w:val="fr-BE"/>
        </w:rPr>
        <w:t>La Banque</w:t>
      </w:r>
      <w:r w:rsidR="0001132D">
        <w:rPr>
          <w:color w:val="7F7F7F" w:themeColor="text1" w:themeTint="80"/>
          <w:lang w:val="fr-BE"/>
        </w:rPr>
        <w:t xml:space="preserve"> </w:t>
      </w:r>
      <w:r w:rsidRPr="0001132D">
        <w:rPr>
          <w:color w:val="7F7F7F" w:themeColor="text1" w:themeTint="80"/>
          <w:lang w:val="fr-BE"/>
        </w:rPr>
        <w:t>centrale</w:t>
      </w:r>
      <w:r w:rsidR="0001132D">
        <w:rPr>
          <w:color w:val="7F7F7F" w:themeColor="text1" w:themeTint="80"/>
          <w:lang w:val="fr-BE"/>
        </w:rPr>
        <w:t xml:space="preserve"> </w:t>
      </w:r>
      <w:r w:rsidRPr="0001132D">
        <w:rPr>
          <w:color w:val="7F7F7F" w:themeColor="text1" w:themeTint="80"/>
          <w:lang w:val="fr-BE"/>
        </w:rPr>
        <w:t>européenne</w:t>
      </w:r>
    </w:p>
    <w:p w:rsidR="00BD3D81" w:rsidRPr="0001132D" w:rsidRDefault="00BD3D81" w:rsidP="00AD2411">
      <w:pPr>
        <w:pStyle w:val="ListParagraph"/>
        <w:numPr>
          <w:ilvl w:val="1"/>
          <w:numId w:val="12"/>
        </w:numPr>
        <w:spacing w:before="240"/>
        <w:rPr>
          <w:color w:val="7F7F7F" w:themeColor="text1" w:themeTint="80"/>
          <w:lang w:val="fr-BE"/>
        </w:rPr>
      </w:pPr>
      <w:r w:rsidRPr="0001132D">
        <w:rPr>
          <w:color w:val="7F7F7F" w:themeColor="text1" w:themeTint="80"/>
          <w:lang w:val="fr-BE"/>
        </w:rPr>
        <w:t>La Cour de comptes et les organes complémentaires (renvoi)</w:t>
      </w:r>
      <w:r w:rsidRPr="0001132D">
        <w:rPr>
          <w:color w:val="7F7F7F" w:themeColor="text1" w:themeTint="80"/>
          <w:lang w:val="fr-BE"/>
        </w:rPr>
        <w:br/>
      </w:r>
    </w:p>
    <w:p w:rsidR="00BD3D81" w:rsidRPr="0001132D" w:rsidRDefault="00BD3D81" w:rsidP="00AD2411">
      <w:pPr>
        <w:pStyle w:val="ListParagraph"/>
        <w:numPr>
          <w:ilvl w:val="0"/>
          <w:numId w:val="12"/>
        </w:numPr>
        <w:spacing w:before="240"/>
        <w:rPr>
          <w:i/>
          <w:color w:val="7F7F7F" w:themeColor="text1" w:themeTint="80"/>
          <w:lang w:val="fr-BE"/>
        </w:rPr>
      </w:pPr>
      <w:r w:rsidRPr="0001132D">
        <w:rPr>
          <w:i/>
          <w:color w:val="7F7F7F" w:themeColor="text1" w:themeTint="80"/>
          <w:lang w:val="fr-BE"/>
        </w:rPr>
        <w:t>Les procédures de prise de décision</w:t>
      </w:r>
      <w:r w:rsidR="00DB061C" w:rsidRPr="0001132D">
        <w:rPr>
          <w:i/>
          <w:color w:val="7F7F7F" w:themeColor="text1" w:themeTint="80"/>
          <w:lang w:val="fr-BE"/>
        </w:rPr>
        <w:br/>
      </w:r>
    </w:p>
    <w:p w:rsidR="00BD3D81" w:rsidRPr="0001132D" w:rsidRDefault="00BD3D81" w:rsidP="00AD2411">
      <w:pPr>
        <w:pStyle w:val="ListParagraph"/>
        <w:numPr>
          <w:ilvl w:val="1"/>
          <w:numId w:val="12"/>
        </w:numPr>
        <w:spacing w:before="240"/>
        <w:rPr>
          <w:color w:val="7F7F7F" w:themeColor="text1" w:themeTint="80"/>
          <w:lang w:val="fr-BE"/>
        </w:rPr>
      </w:pPr>
      <w:r w:rsidRPr="0001132D">
        <w:rPr>
          <w:color w:val="7F7F7F" w:themeColor="text1" w:themeTint="80"/>
          <w:lang w:val="fr-BE"/>
        </w:rPr>
        <w:t>La procédure</w:t>
      </w:r>
      <w:r w:rsidR="0001132D">
        <w:rPr>
          <w:color w:val="7F7F7F" w:themeColor="text1" w:themeTint="80"/>
          <w:lang w:val="fr-BE"/>
        </w:rPr>
        <w:t xml:space="preserve"> </w:t>
      </w:r>
      <w:r w:rsidRPr="0001132D">
        <w:rPr>
          <w:color w:val="7F7F7F" w:themeColor="text1" w:themeTint="80"/>
          <w:lang w:val="fr-BE"/>
        </w:rPr>
        <w:t>législative</w:t>
      </w:r>
      <w:r w:rsidR="0001132D">
        <w:rPr>
          <w:color w:val="7F7F7F" w:themeColor="text1" w:themeTint="80"/>
          <w:lang w:val="fr-BE"/>
        </w:rPr>
        <w:t xml:space="preserve"> </w:t>
      </w:r>
      <w:r w:rsidRPr="0001132D">
        <w:rPr>
          <w:color w:val="7F7F7F" w:themeColor="text1" w:themeTint="80"/>
          <w:lang w:val="fr-BE"/>
        </w:rPr>
        <w:t>ordinaire</w:t>
      </w:r>
    </w:p>
    <w:p w:rsidR="00BD3D81" w:rsidRPr="0001132D" w:rsidRDefault="00BD3D81" w:rsidP="00AD2411">
      <w:pPr>
        <w:pStyle w:val="ListParagraph"/>
        <w:numPr>
          <w:ilvl w:val="1"/>
          <w:numId w:val="12"/>
        </w:numPr>
        <w:spacing w:before="240"/>
        <w:rPr>
          <w:color w:val="7F7F7F" w:themeColor="text1" w:themeTint="80"/>
          <w:lang w:val="fr-BE"/>
        </w:rPr>
      </w:pPr>
      <w:r w:rsidRPr="0001132D">
        <w:rPr>
          <w:color w:val="7F7F7F" w:themeColor="text1" w:themeTint="80"/>
          <w:lang w:val="fr-BE"/>
        </w:rPr>
        <w:t>Les procédures</w:t>
      </w:r>
      <w:r w:rsidR="0001132D">
        <w:rPr>
          <w:color w:val="7F7F7F" w:themeColor="text1" w:themeTint="80"/>
          <w:lang w:val="fr-BE"/>
        </w:rPr>
        <w:t xml:space="preserve"> </w:t>
      </w:r>
      <w:r w:rsidRPr="0001132D">
        <w:rPr>
          <w:color w:val="7F7F7F" w:themeColor="text1" w:themeTint="80"/>
          <w:lang w:val="fr-BE"/>
        </w:rPr>
        <w:t>législatives</w:t>
      </w:r>
      <w:r w:rsidR="0001132D">
        <w:rPr>
          <w:color w:val="7F7F7F" w:themeColor="text1" w:themeTint="80"/>
          <w:lang w:val="fr-BE"/>
        </w:rPr>
        <w:t xml:space="preserve"> </w:t>
      </w:r>
      <w:r w:rsidRPr="0001132D">
        <w:rPr>
          <w:color w:val="7F7F7F" w:themeColor="text1" w:themeTint="80"/>
          <w:lang w:val="fr-BE"/>
        </w:rPr>
        <w:t>spéciales</w:t>
      </w:r>
    </w:p>
    <w:p w:rsidR="00BD3D81" w:rsidRPr="0001132D" w:rsidRDefault="00BD3D81" w:rsidP="00AD2411">
      <w:pPr>
        <w:pStyle w:val="ListParagraph"/>
        <w:numPr>
          <w:ilvl w:val="1"/>
          <w:numId w:val="12"/>
        </w:numPr>
        <w:spacing w:before="240"/>
        <w:rPr>
          <w:color w:val="7F7F7F" w:themeColor="text1" w:themeTint="80"/>
          <w:lang w:val="fr-BE"/>
        </w:rPr>
      </w:pPr>
      <w:r w:rsidRPr="0001132D">
        <w:rPr>
          <w:color w:val="7F7F7F" w:themeColor="text1" w:themeTint="80"/>
          <w:lang w:val="fr-BE"/>
        </w:rPr>
        <w:t>L’adoption d’actes non-législatifs (notamment la « comitologie »)</w:t>
      </w:r>
    </w:p>
    <w:p w:rsidR="00BD3D81" w:rsidRPr="0001132D" w:rsidRDefault="00BD3D81" w:rsidP="00AD2411">
      <w:pPr>
        <w:pStyle w:val="ListParagraph"/>
        <w:numPr>
          <w:ilvl w:val="1"/>
          <w:numId w:val="12"/>
        </w:numPr>
        <w:spacing w:before="240"/>
        <w:rPr>
          <w:color w:val="7F7F7F" w:themeColor="text1" w:themeTint="80"/>
          <w:lang w:val="fr-BE"/>
        </w:rPr>
      </w:pPr>
      <w:r w:rsidRPr="0001132D">
        <w:rPr>
          <w:color w:val="7F7F7F" w:themeColor="text1" w:themeTint="80"/>
          <w:lang w:val="fr-BE"/>
        </w:rPr>
        <w:t>La procédure</w:t>
      </w:r>
      <w:r w:rsidR="0001132D">
        <w:rPr>
          <w:color w:val="7F7F7F" w:themeColor="text1" w:themeTint="80"/>
          <w:lang w:val="fr-BE"/>
        </w:rPr>
        <w:t xml:space="preserve"> </w:t>
      </w:r>
      <w:r w:rsidR="0037630E" w:rsidRPr="0001132D">
        <w:rPr>
          <w:color w:val="7F7F7F" w:themeColor="text1" w:themeTint="80"/>
          <w:lang w:val="fr-BE"/>
        </w:rPr>
        <w:t>budgétaire</w:t>
      </w:r>
    </w:p>
    <w:p w:rsidR="00BD3D81" w:rsidRPr="0001132D" w:rsidRDefault="00BD3D81" w:rsidP="00AD2411">
      <w:pPr>
        <w:pStyle w:val="ListParagraph"/>
        <w:numPr>
          <w:ilvl w:val="1"/>
          <w:numId w:val="12"/>
        </w:numPr>
        <w:spacing w:before="240"/>
        <w:rPr>
          <w:color w:val="A6A6A6" w:themeColor="background1" w:themeShade="A6"/>
          <w:lang w:val="fr-BE"/>
        </w:rPr>
      </w:pPr>
      <w:r w:rsidRPr="0001132D">
        <w:rPr>
          <w:color w:val="7F7F7F" w:themeColor="text1" w:themeTint="80"/>
          <w:lang w:val="fr-BE"/>
        </w:rPr>
        <w:t>La conclusion des accords internationaux</w:t>
      </w:r>
      <w:r w:rsidR="0066310C" w:rsidRPr="0001132D">
        <w:rPr>
          <w:color w:val="7F7F7F" w:themeColor="text1" w:themeTint="80"/>
          <w:lang w:val="fr-BE"/>
        </w:rPr>
        <w:br/>
      </w:r>
    </w:p>
    <w:p w:rsidR="00D90C51" w:rsidRPr="0001132D" w:rsidRDefault="0066310C" w:rsidP="00AD2411">
      <w:pPr>
        <w:pStyle w:val="ListParagraph"/>
        <w:numPr>
          <w:ilvl w:val="0"/>
          <w:numId w:val="12"/>
        </w:numPr>
        <w:rPr>
          <w:i/>
          <w:lang w:val="fr-BE"/>
        </w:rPr>
      </w:pPr>
      <w:r w:rsidRPr="0001132D">
        <w:rPr>
          <w:i/>
          <w:lang w:val="fr-BE"/>
        </w:rPr>
        <w:t>Les rapports (« horizontaux ») entre les institutions</w:t>
      </w:r>
      <w:r w:rsidR="00DB061C" w:rsidRPr="0001132D">
        <w:rPr>
          <w:i/>
          <w:lang w:val="fr-BE"/>
        </w:rPr>
        <w:br/>
      </w:r>
    </w:p>
    <w:p w:rsidR="0066310C" w:rsidRPr="0001132D" w:rsidRDefault="0066310C" w:rsidP="00AD2411">
      <w:pPr>
        <w:pStyle w:val="ListParagraph"/>
        <w:numPr>
          <w:ilvl w:val="1"/>
          <w:numId w:val="12"/>
        </w:numPr>
        <w:rPr>
          <w:lang w:val="fr-BE"/>
        </w:rPr>
      </w:pPr>
      <w:r w:rsidRPr="0001132D">
        <w:rPr>
          <w:lang w:val="fr-BE"/>
        </w:rPr>
        <w:t>Le principe</w:t>
      </w:r>
      <w:r w:rsidR="0001132D">
        <w:rPr>
          <w:lang w:val="fr-BE"/>
        </w:rPr>
        <w:t xml:space="preserve"> </w:t>
      </w:r>
      <w:r w:rsidRPr="0001132D">
        <w:rPr>
          <w:lang w:val="fr-BE"/>
        </w:rPr>
        <w:t>d’attribution de</w:t>
      </w:r>
      <w:r w:rsidR="00C5374E" w:rsidRPr="0001132D">
        <w:rPr>
          <w:lang w:val="fr-BE"/>
        </w:rPr>
        <w:t>s</w:t>
      </w:r>
      <w:r w:rsidR="0001132D">
        <w:rPr>
          <w:lang w:val="fr-BE"/>
        </w:rPr>
        <w:t xml:space="preserve"> </w:t>
      </w:r>
      <w:r w:rsidRPr="0001132D">
        <w:rPr>
          <w:lang w:val="fr-BE"/>
        </w:rPr>
        <w:t>pouvoirs</w:t>
      </w:r>
    </w:p>
    <w:p w:rsidR="0066310C" w:rsidRPr="0001132D" w:rsidRDefault="0066310C" w:rsidP="00AD2411">
      <w:pPr>
        <w:pStyle w:val="ListParagraph"/>
        <w:numPr>
          <w:ilvl w:val="1"/>
          <w:numId w:val="12"/>
        </w:numPr>
        <w:rPr>
          <w:lang w:val="fr-BE"/>
        </w:rPr>
      </w:pPr>
      <w:r w:rsidRPr="0001132D">
        <w:rPr>
          <w:lang w:val="fr-BE"/>
        </w:rPr>
        <w:t xml:space="preserve">Les principes régulateurs </w:t>
      </w:r>
      <w:r w:rsidRPr="0001132D">
        <w:rPr>
          <w:lang w:val="fr-BE"/>
        </w:rPr>
        <w:br/>
        <w:t>(autonomie, équilibre institutionnel, coopération loyale, transparence)</w:t>
      </w:r>
    </w:p>
    <w:p w:rsidR="0066310C" w:rsidRPr="0001132D" w:rsidRDefault="0066310C" w:rsidP="00AD2411">
      <w:pPr>
        <w:pStyle w:val="ListParagraph"/>
        <w:numPr>
          <w:ilvl w:val="1"/>
          <w:numId w:val="12"/>
        </w:numPr>
        <w:rPr>
          <w:lang w:val="fr-BE"/>
        </w:rPr>
      </w:pPr>
      <w:r w:rsidRPr="0001132D">
        <w:rPr>
          <w:lang w:val="fr-BE"/>
        </w:rPr>
        <w:t>Liens avec les rapports « verticaux »</w:t>
      </w:r>
      <w:r w:rsidRPr="0001132D">
        <w:rPr>
          <w:lang w:val="fr-BE"/>
        </w:rPr>
        <w:br/>
      </w:r>
    </w:p>
    <w:p w:rsidR="0066310C" w:rsidRPr="0001132D" w:rsidRDefault="0066310C" w:rsidP="00AD2411">
      <w:pPr>
        <w:pStyle w:val="ListParagraph"/>
        <w:numPr>
          <w:ilvl w:val="0"/>
          <w:numId w:val="12"/>
        </w:numPr>
        <w:rPr>
          <w:i/>
          <w:lang w:val="fr-BE"/>
        </w:rPr>
      </w:pPr>
      <w:r w:rsidRPr="0001132D">
        <w:rPr>
          <w:i/>
          <w:lang w:val="fr-BE"/>
        </w:rPr>
        <w:t>Les rapports (« verticaux ») entre l’Union et ses Etats membres</w:t>
      </w:r>
      <w:r w:rsidR="00DB061C" w:rsidRPr="0001132D">
        <w:rPr>
          <w:i/>
          <w:lang w:val="fr-BE"/>
        </w:rPr>
        <w:br/>
      </w:r>
    </w:p>
    <w:p w:rsidR="0066310C" w:rsidRPr="0001132D" w:rsidRDefault="0066310C" w:rsidP="00AD2411">
      <w:pPr>
        <w:pStyle w:val="ListParagraph"/>
        <w:numPr>
          <w:ilvl w:val="1"/>
          <w:numId w:val="12"/>
        </w:numPr>
        <w:rPr>
          <w:lang w:val="fr-BE"/>
        </w:rPr>
      </w:pPr>
      <w:r w:rsidRPr="0001132D">
        <w:rPr>
          <w:lang w:val="fr-BE"/>
        </w:rPr>
        <w:t xml:space="preserve">Le principe d’attribution des compétences </w:t>
      </w:r>
      <w:r w:rsidRPr="0001132D">
        <w:rPr>
          <w:lang w:val="fr-BE"/>
        </w:rPr>
        <w:br/>
        <w:t>(technique d’attribution, nature des compétences, rapport avec compétences nationales, évolution des compétences de l’Union</w:t>
      </w:r>
      <w:r w:rsidR="00A92F2E" w:rsidRPr="0001132D">
        <w:rPr>
          <w:lang w:val="fr-BE"/>
        </w:rPr>
        <w:t>, choix de la bases juridique, clause de flexibilité</w:t>
      </w:r>
      <w:r w:rsidRPr="0001132D">
        <w:rPr>
          <w:lang w:val="fr-BE"/>
        </w:rPr>
        <w:t>)</w:t>
      </w:r>
    </w:p>
    <w:p w:rsidR="0066310C" w:rsidRPr="0001132D" w:rsidRDefault="0066310C" w:rsidP="00AD2411">
      <w:pPr>
        <w:pStyle w:val="ListParagraph"/>
        <w:numPr>
          <w:ilvl w:val="1"/>
          <w:numId w:val="12"/>
        </w:numPr>
        <w:rPr>
          <w:lang w:val="fr-BE"/>
        </w:rPr>
      </w:pPr>
      <w:r w:rsidRPr="0001132D">
        <w:rPr>
          <w:lang w:val="fr-BE"/>
        </w:rPr>
        <w:lastRenderedPageBreak/>
        <w:t xml:space="preserve">Principes régulant l’exercice par l’Union de ses compétences </w:t>
      </w:r>
      <w:r w:rsidRPr="0001132D">
        <w:rPr>
          <w:lang w:val="fr-BE"/>
        </w:rPr>
        <w:br/>
        <w:t>(</w:t>
      </w:r>
      <w:r w:rsidR="00A413D1" w:rsidRPr="0001132D">
        <w:rPr>
          <w:lang w:val="fr-BE"/>
        </w:rPr>
        <w:t>principes généraux du</w:t>
      </w:r>
      <w:r w:rsidRPr="0001132D">
        <w:rPr>
          <w:lang w:val="fr-BE"/>
        </w:rPr>
        <w:t xml:space="preserve"> droit, droits fondamentaux, proportionnalité, subsidiarité, coopération loyale, [égalité des Etats membres et identité nationale])</w:t>
      </w:r>
    </w:p>
    <w:p w:rsidR="00991182" w:rsidRPr="0001132D" w:rsidRDefault="004D051C" w:rsidP="00AD2411">
      <w:pPr>
        <w:pStyle w:val="ListParagraph"/>
        <w:numPr>
          <w:ilvl w:val="1"/>
          <w:numId w:val="12"/>
        </w:numPr>
        <w:rPr>
          <w:lang w:val="fr-BE"/>
        </w:rPr>
      </w:pPr>
      <w:r w:rsidRPr="0001132D">
        <w:rPr>
          <w:lang w:val="fr-BE"/>
        </w:rPr>
        <w:t>L</w:t>
      </w:r>
      <w:r w:rsidR="0008438F" w:rsidRPr="0001132D">
        <w:rPr>
          <w:lang w:val="fr-BE"/>
        </w:rPr>
        <w:t xml:space="preserve">es </w:t>
      </w:r>
      <w:r w:rsidR="0066310C" w:rsidRPr="0001132D">
        <w:rPr>
          <w:lang w:val="fr-BE"/>
        </w:rPr>
        <w:t>compétences externes</w:t>
      </w:r>
      <w:r w:rsidR="0008438F" w:rsidRPr="0001132D">
        <w:rPr>
          <w:lang w:val="fr-BE"/>
        </w:rPr>
        <w:t xml:space="preserve"> de l’Union</w:t>
      </w:r>
      <w:r w:rsidRPr="0001132D">
        <w:rPr>
          <w:lang w:val="fr-BE"/>
        </w:rPr>
        <w:t xml:space="preserve"> (bref aperçu historique)</w:t>
      </w:r>
      <w:r w:rsidR="00DE5989" w:rsidRPr="0001132D">
        <w:rPr>
          <w:lang w:val="fr-BE"/>
        </w:rPr>
        <w:br/>
      </w:r>
    </w:p>
    <w:p w:rsidR="00DE5989" w:rsidRPr="0001132D" w:rsidRDefault="003777C3" w:rsidP="00AD2411">
      <w:pPr>
        <w:pStyle w:val="ListParagraph"/>
        <w:numPr>
          <w:ilvl w:val="0"/>
          <w:numId w:val="12"/>
        </w:numPr>
        <w:rPr>
          <w:i/>
          <w:lang w:val="fr-BE"/>
        </w:rPr>
      </w:pPr>
      <w:r w:rsidRPr="0001132D">
        <w:rPr>
          <w:i/>
          <w:lang w:val="fr-BE"/>
        </w:rPr>
        <w:t xml:space="preserve">Les caractéristiques </w:t>
      </w:r>
      <w:r w:rsidR="00987D6F" w:rsidRPr="0001132D">
        <w:rPr>
          <w:i/>
          <w:lang w:val="fr-BE"/>
        </w:rPr>
        <w:t xml:space="preserve">principales </w:t>
      </w:r>
      <w:r w:rsidRPr="0001132D">
        <w:rPr>
          <w:i/>
          <w:lang w:val="fr-BE"/>
        </w:rPr>
        <w:t>du droit de l’Union</w:t>
      </w:r>
      <w:r w:rsidR="00DB061C" w:rsidRPr="0001132D">
        <w:rPr>
          <w:i/>
          <w:lang w:val="fr-BE"/>
        </w:rPr>
        <w:br/>
      </w:r>
    </w:p>
    <w:p w:rsidR="00987D6F" w:rsidRPr="0001132D" w:rsidRDefault="005B4B36" w:rsidP="00AD2411">
      <w:pPr>
        <w:pStyle w:val="ListParagraph"/>
        <w:numPr>
          <w:ilvl w:val="1"/>
          <w:numId w:val="12"/>
        </w:numPr>
        <w:rPr>
          <w:lang w:val="fr-BE"/>
        </w:rPr>
      </w:pPr>
      <w:r w:rsidRPr="0001132D">
        <w:rPr>
          <w:lang w:val="fr-BE"/>
        </w:rPr>
        <w:t>Les s</w:t>
      </w:r>
      <w:r w:rsidR="00DB061C" w:rsidRPr="0001132D">
        <w:rPr>
          <w:lang w:val="fr-BE"/>
        </w:rPr>
        <w:t xml:space="preserve">ources </w:t>
      </w:r>
      <w:r w:rsidR="00987D6F" w:rsidRPr="0001132D">
        <w:rPr>
          <w:lang w:val="fr-BE"/>
        </w:rPr>
        <w:br/>
        <w:t>(droit primaire, principes généraux, droit dérivé, droit international)</w:t>
      </w:r>
    </w:p>
    <w:p w:rsidR="00987D6F" w:rsidRPr="0001132D" w:rsidRDefault="005B4B36" w:rsidP="00AD2411">
      <w:pPr>
        <w:pStyle w:val="ListParagraph"/>
        <w:numPr>
          <w:ilvl w:val="1"/>
          <w:numId w:val="12"/>
        </w:numPr>
        <w:rPr>
          <w:lang w:val="fr-BE"/>
        </w:rPr>
      </w:pPr>
      <w:r w:rsidRPr="0001132D">
        <w:rPr>
          <w:lang w:val="fr-BE"/>
        </w:rPr>
        <w:t>Les c</w:t>
      </w:r>
      <w:r w:rsidR="00DB061C" w:rsidRPr="0001132D">
        <w:rPr>
          <w:lang w:val="fr-BE"/>
        </w:rPr>
        <w:t xml:space="preserve">aractères </w:t>
      </w:r>
      <w:r w:rsidR="00987D6F" w:rsidRPr="0001132D">
        <w:rPr>
          <w:lang w:val="fr-BE"/>
        </w:rPr>
        <w:br/>
        <w:t>(</w:t>
      </w:r>
      <w:r w:rsidR="00CE5D53" w:rsidRPr="0001132D">
        <w:rPr>
          <w:lang w:val="fr-BE"/>
        </w:rPr>
        <w:t>effet direct, primauté)</w:t>
      </w:r>
    </w:p>
    <w:p w:rsidR="00DB061C" w:rsidRPr="0001132D" w:rsidRDefault="005B4B36" w:rsidP="00AD2411">
      <w:pPr>
        <w:pStyle w:val="ListParagraph"/>
        <w:numPr>
          <w:ilvl w:val="1"/>
          <w:numId w:val="12"/>
        </w:numPr>
        <w:rPr>
          <w:lang w:val="fr-BE"/>
        </w:rPr>
      </w:pPr>
      <w:r w:rsidRPr="0001132D">
        <w:rPr>
          <w:lang w:val="fr-BE"/>
        </w:rPr>
        <w:t>La m</w:t>
      </w:r>
      <w:r w:rsidR="00CE5D53" w:rsidRPr="0001132D">
        <w:rPr>
          <w:lang w:val="fr-BE"/>
        </w:rPr>
        <w:t xml:space="preserve">ise en </w:t>
      </w:r>
      <w:r w:rsidR="00DB061C" w:rsidRPr="0001132D">
        <w:rPr>
          <w:lang w:val="fr-BE"/>
        </w:rPr>
        <w:t xml:space="preserve">œuvre </w:t>
      </w:r>
      <w:r w:rsidR="00CE5D53" w:rsidRPr="0001132D">
        <w:rPr>
          <w:lang w:val="fr-BE"/>
        </w:rPr>
        <w:br/>
        <w:t>(exécution, portée de l’autonomie institutionnelle nationale, responsabilité)</w:t>
      </w:r>
    </w:p>
    <w:p w:rsidR="005B4B36" w:rsidRPr="0001132D" w:rsidRDefault="00DB061C" w:rsidP="00AD2411">
      <w:pPr>
        <w:pStyle w:val="ListParagraph"/>
        <w:numPr>
          <w:ilvl w:val="1"/>
          <w:numId w:val="12"/>
        </w:numPr>
        <w:rPr>
          <w:lang w:val="fr-BE"/>
        </w:rPr>
      </w:pPr>
      <w:r w:rsidRPr="0001132D">
        <w:rPr>
          <w:lang w:val="fr-BE"/>
        </w:rPr>
        <w:t>Les rapports entre les différentes catégories du droit de l’Union</w:t>
      </w:r>
      <w:r w:rsidRPr="0001132D">
        <w:rPr>
          <w:lang w:val="fr-BE"/>
        </w:rPr>
        <w:br/>
        <w:t>(hiérarchie, délimitation)</w:t>
      </w:r>
      <w:r w:rsidR="0037630E" w:rsidRPr="0001132D">
        <w:rPr>
          <w:lang w:val="fr-BE"/>
        </w:rPr>
        <w:br/>
      </w:r>
    </w:p>
    <w:p w:rsidR="00D03ED0" w:rsidRPr="0001132D" w:rsidRDefault="005B4B36" w:rsidP="00AD2411">
      <w:pPr>
        <w:pStyle w:val="ListParagraph"/>
        <w:numPr>
          <w:ilvl w:val="0"/>
          <w:numId w:val="12"/>
        </w:numPr>
        <w:rPr>
          <w:i/>
          <w:lang w:val="fr-BE"/>
        </w:rPr>
      </w:pPr>
      <w:r w:rsidRPr="0001132D">
        <w:rPr>
          <w:i/>
          <w:lang w:val="fr-BE"/>
        </w:rPr>
        <w:t>Le contrôle</w:t>
      </w:r>
      <w:r w:rsidR="006112A8">
        <w:rPr>
          <w:i/>
          <w:lang w:val="fr-BE"/>
        </w:rPr>
        <w:t xml:space="preserve"> </w:t>
      </w:r>
      <w:r w:rsidRPr="0001132D">
        <w:rPr>
          <w:i/>
          <w:lang w:val="fr-BE"/>
        </w:rPr>
        <w:t>juridictionnel</w:t>
      </w:r>
      <w:r w:rsidR="00D03ED0" w:rsidRPr="0001132D">
        <w:rPr>
          <w:i/>
          <w:lang w:val="fr-BE"/>
        </w:rPr>
        <w:br/>
      </w:r>
    </w:p>
    <w:p w:rsidR="00D03ED0" w:rsidRPr="0001132D" w:rsidRDefault="007B5D8E" w:rsidP="00AD2411">
      <w:pPr>
        <w:pStyle w:val="ListParagraph"/>
        <w:numPr>
          <w:ilvl w:val="1"/>
          <w:numId w:val="12"/>
        </w:numPr>
        <w:rPr>
          <w:lang w:val="fr-BE"/>
        </w:rPr>
      </w:pPr>
      <w:r w:rsidRPr="0001132D">
        <w:rPr>
          <w:lang w:val="fr-BE"/>
        </w:rPr>
        <w:t>Le monopole juridictionnel de la CJUE</w:t>
      </w:r>
    </w:p>
    <w:p w:rsidR="007B5D8E" w:rsidRPr="0001132D" w:rsidRDefault="007B5D8E" w:rsidP="00AD2411">
      <w:pPr>
        <w:pStyle w:val="ListParagraph"/>
        <w:numPr>
          <w:ilvl w:val="1"/>
          <w:numId w:val="12"/>
        </w:numPr>
        <w:rPr>
          <w:lang w:val="fr-BE"/>
        </w:rPr>
      </w:pPr>
      <w:r w:rsidRPr="0001132D">
        <w:rPr>
          <w:lang w:val="fr-BE"/>
        </w:rPr>
        <w:t>Sa mise en œuvre</w:t>
      </w:r>
      <w:r w:rsidR="006112A8">
        <w:rPr>
          <w:lang w:val="fr-BE"/>
        </w:rPr>
        <w:t xml:space="preserve"> </w:t>
      </w:r>
      <w:r w:rsidRPr="0001132D">
        <w:rPr>
          <w:lang w:val="fr-BE"/>
        </w:rPr>
        <w:t>décentralisée</w:t>
      </w:r>
    </w:p>
    <w:p w:rsidR="00DB061C" w:rsidRPr="0001132D" w:rsidRDefault="007B5D8E" w:rsidP="00AD2411">
      <w:pPr>
        <w:pStyle w:val="ListParagraph"/>
        <w:numPr>
          <w:ilvl w:val="1"/>
          <w:numId w:val="12"/>
        </w:numPr>
        <w:rPr>
          <w:lang w:val="fr-BE"/>
        </w:rPr>
      </w:pPr>
      <w:r w:rsidRPr="0001132D">
        <w:rPr>
          <w:lang w:val="fr-BE"/>
        </w:rPr>
        <w:t>Les exceptions</w:t>
      </w:r>
      <w:r w:rsidR="003C2D25" w:rsidRPr="0001132D">
        <w:rPr>
          <w:lang w:val="fr-BE"/>
        </w:rPr>
        <w:br/>
      </w:r>
    </w:p>
    <w:p w:rsidR="00991182" w:rsidRPr="0001132D" w:rsidRDefault="00991182">
      <w:pPr>
        <w:rPr>
          <w:lang w:val="fr-BE"/>
        </w:rPr>
      </w:pPr>
    </w:p>
    <w:p w:rsidR="003B3447" w:rsidRPr="0001132D" w:rsidRDefault="00D949BC" w:rsidP="00AD2411">
      <w:pPr>
        <w:pStyle w:val="ListParagraph"/>
        <w:numPr>
          <w:ilvl w:val="0"/>
          <w:numId w:val="11"/>
        </w:numPr>
        <w:rPr>
          <w:b/>
          <w:lang w:val="fr-BE"/>
        </w:rPr>
      </w:pPr>
      <w:r w:rsidRPr="0001132D">
        <w:rPr>
          <w:b/>
          <w:lang w:val="fr-BE"/>
        </w:rPr>
        <w:t>Du droit institutionnel au droit constitutionnel de l’Union</w:t>
      </w:r>
      <w:r w:rsidR="00D90C51" w:rsidRPr="0001132D">
        <w:rPr>
          <w:b/>
          <w:lang w:val="fr-BE"/>
        </w:rPr>
        <w:t xml:space="preserve"> européenne</w:t>
      </w:r>
      <w:r w:rsidRPr="0001132D">
        <w:rPr>
          <w:b/>
          <w:lang w:val="fr-BE"/>
        </w:rPr>
        <w:t> ?</w:t>
      </w:r>
      <w:r w:rsidR="001D244B" w:rsidRPr="0001132D">
        <w:rPr>
          <w:b/>
          <w:lang w:val="fr-BE"/>
        </w:rPr>
        <w:br/>
      </w:r>
    </w:p>
    <w:p w:rsidR="001D244B" w:rsidRPr="0001132D" w:rsidRDefault="001D244B" w:rsidP="00AD2411">
      <w:pPr>
        <w:pStyle w:val="ListParagraph"/>
        <w:numPr>
          <w:ilvl w:val="0"/>
          <w:numId w:val="13"/>
        </w:numPr>
        <w:rPr>
          <w:i/>
          <w:lang w:val="fr-BE"/>
        </w:rPr>
      </w:pPr>
      <w:r w:rsidRPr="0001132D">
        <w:rPr>
          <w:i/>
          <w:lang w:val="fr-BE"/>
        </w:rPr>
        <w:t xml:space="preserve">La notion de constitution dans </w:t>
      </w:r>
      <w:r w:rsidR="00C5374E" w:rsidRPr="0001132D">
        <w:rPr>
          <w:i/>
          <w:lang w:val="fr-BE"/>
        </w:rPr>
        <w:t>le</w:t>
      </w:r>
      <w:r w:rsidR="006112A8">
        <w:rPr>
          <w:i/>
          <w:lang w:val="fr-BE"/>
        </w:rPr>
        <w:t xml:space="preserve"> </w:t>
      </w:r>
      <w:r w:rsidRPr="0001132D">
        <w:rPr>
          <w:i/>
          <w:lang w:val="fr-BE"/>
        </w:rPr>
        <w:t>cadre de l’Etat-nation</w:t>
      </w:r>
      <w:r w:rsidR="002D74B8" w:rsidRPr="0001132D">
        <w:rPr>
          <w:i/>
          <w:lang w:val="fr-BE"/>
        </w:rPr>
        <w:br/>
      </w:r>
    </w:p>
    <w:p w:rsidR="002D74B8" w:rsidRPr="0001132D" w:rsidRDefault="002D74B8" w:rsidP="00AD2411">
      <w:pPr>
        <w:pStyle w:val="ListParagraph"/>
        <w:numPr>
          <w:ilvl w:val="1"/>
          <w:numId w:val="13"/>
        </w:numPr>
        <w:rPr>
          <w:lang w:val="fr-BE"/>
        </w:rPr>
      </w:pPr>
      <w:r w:rsidRPr="0001132D">
        <w:rPr>
          <w:lang w:val="fr-BE"/>
        </w:rPr>
        <w:t xml:space="preserve">Constitution dans le sens matériel </w:t>
      </w:r>
      <w:r w:rsidRPr="0001132D">
        <w:rPr>
          <w:lang w:val="fr-BE"/>
        </w:rPr>
        <w:br/>
        <w:t>(institution et organisation d’un pouvoir public, établissement d’une norme supérieure, participation des citoyens et protection de leurs droits)</w:t>
      </w:r>
    </w:p>
    <w:p w:rsidR="002D74B8" w:rsidRPr="0001132D" w:rsidRDefault="002D74B8" w:rsidP="00AD2411">
      <w:pPr>
        <w:pStyle w:val="ListParagraph"/>
        <w:numPr>
          <w:ilvl w:val="1"/>
          <w:numId w:val="13"/>
        </w:numPr>
        <w:rPr>
          <w:lang w:val="fr-BE"/>
        </w:rPr>
      </w:pPr>
      <w:r w:rsidRPr="0001132D">
        <w:rPr>
          <w:lang w:val="fr-BE"/>
        </w:rPr>
        <w:t xml:space="preserve">Constitution dans le sens </w:t>
      </w:r>
      <w:r w:rsidR="00A75CCB" w:rsidRPr="0001132D">
        <w:rPr>
          <w:lang w:val="fr-BE"/>
        </w:rPr>
        <w:t xml:space="preserve">formel </w:t>
      </w:r>
      <w:r w:rsidRPr="0001132D">
        <w:rPr>
          <w:lang w:val="fr-BE"/>
        </w:rPr>
        <w:br/>
        <w:t>(forme, élaboration, adoption, révision, substitution)</w:t>
      </w:r>
      <w:r w:rsidR="0052541B" w:rsidRPr="0001132D">
        <w:rPr>
          <w:lang w:val="fr-BE"/>
        </w:rPr>
        <w:br/>
      </w:r>
    </w:p>
    <w:p w:rsidR="0052541B" w:rsidRPr="0001132D" w:rsidRDefault="0052541B" w:rsidP="00AD2411">
      <w:pPr>
        <w:pStyle w:val="ListParagraph"/>
        <w:numPr>
          <w:ilvl w:val="0"/>
          <w:numId w:val="13"/>
        </w:numPr>
        <w:rPr>
          <w:i/>
          <w:lang w:val="fr-BE"/>
        </w:rPr>
      </w:pPr>
      <w:r w:rsidRPr="0001132D">
        <w:rPr>
          <w:i/>
          <w:lang w:val="fr-BE"/>
        </w:rPr>
        <w:t>Traits constitutionnels du droit institutionnel de l’Union européenne</w:t>
      </w:r>
      <w:r w:rsidRPr="0001132D">
        <w:rPr>
          <w:i/>
          <w:lang w:val="fr-BE"/>
        </w:rPr>
        <w:br/>
      </w:r>
    </w:p>
    <w:p w:rsidR="0052541B" w:rsidRPr="0001132D" w:rsidRDefault="00A75CCB" w:rsidP="00AD2411">
      <w:pPr>
        <w:pStyle w:val="ListParagraph"/>
        <w:numPr>
          <w:ilvl w:val="1"/>
          <w:numId w:val="13"/>
        </w:numPr>
        <w:rPr>
          <w:lang w:val="fr-BE"/>
        </w:rPr>
      </w:pPr>
      <w:r w:rsidRPr="0001132D">
        <w:rPr>
          <w:lang w:val="fr-BE"/>
        </w:rPr>
        <w:t>Les éléments d’une constitution dans le sens matériel</w:t>
      </w:r>
    </w:p>
    <w:p w:rsidR="00A75CCB" w:rsidRPr="0001132D" w:rsidRDefault="00A75CCB" w:rsidP="00AD2411">
      <w:pPr>
        <w:pStyle w:val="ListParagraph"/>
        <w:numPr>
          <w:ilvl w:val="1"/>
          <w:numId w:val="13"/>
        </w:numPr>
        <w:rPr>
          <w:lang w:val="fr-BE"/>
        </w:rPr>
      </w:pPr>
      <w:r w:rsidRPr="0001132D">
        <w:rPr>
          <w:lang w:val="fr-BE"/>
        </w:rPr>
        <w:t>Les éléments d’une constitution dans le sens formel</w:t>
      </w:r>
      <w:r w:rsidRPr="0001132D">
        <w:rPr>
          <w:lang w:val="fr-BE"/>
        </w:rPr>
        <w:br/>
      </w:r>
    </w:p>
    <w:p w:rsidR="00A75CCB" w:rsidRPr="0001132D" w:rsidRDefault="00A75CCB" w:rsidP="00AD2411">
      <w:pPr>
        <w:pStyle w:val="ListParagraph"/>
        <w:numPr>
          <w:ilvl w:val="0"/>
          <w:numId w:val="13"/>
        </w:numPr>
        <w:rPr>
          <w:i/>
          <w:lang w:val="fr-BE"/>
        </w:rPr>
      </w:pPr>
      <w:r w:rsidRPr="0001132D">
        <w:rPr>
          <w:i/>
          <w:lang w:val="fr-BE"/>
        </w:rPr>
        <w:t>Une constitution sans Etat ?</w:t>
      </w:r>
      <w:r w:rsidRPr="0001132D">
        <w:rPr>
          <w:i/>
          <w:lang w:val="fr-BE"/>
        </w:rPr>
        <w:br/>
      </w:r>
    </w:p>
    <w:p w:rsidR="00A75CCB" w:rsidRPr="0001132D" w:rsidRDefault="00A75CCB" w:rsidP="00AD2411">
      <w:pPr>
        <w:pStyle w:val="ListParagraph"/>
        <w:numPr>
          <w:ilvl w:val="1"/>
          <w:numId w:val="13"/>
        </w:numPr>
        <w:rPr>
          <w:lang w:val="fr-BE"/>
        </w:rPr>
      </w:pPr>
      <w:r w:rsidRPr="0001132D">
        <w:rPr>
          <w:lang w:val="fr-BE"/>
        </w:rPr>
        <w:t xml:space="preserve">La notion de l’Etat fédéral </w:t>
      </w:r>
      <w:r w:rsidRPr="0001132D">
        <w:rPr>
          <w:lang w:val="fr-BE"/>
        </w:rPr>
        <w:br/>
        <w:t xml:space="preserve">(ni Etat centralisé ni « simple » confédération </w:t>
      </w:r>
      <w:r w:rsidR="00C5374E" w:rsidRPr="0001132D">
        <w:rPr>
          <w:lang w:val="fr-BE"/>
        </w:rPr>
        <w:t>d’</w:t>
      </w:r>
      <w:r w:rsidRPr="0001132D">
        <w:rPr>
          <w:lang w:val="fr-BE"/>
        </w:rPr>
        <w:t>Etats</w:t>
      </w:r>
      <w:r w:rsidR="00602833" w:rsidRPr="0001132D">
        <w:rPr>
          <w:lang w:val="fr-BE"/>
        </w:rPr>
        <w:t>, la question de la souveraineté</w:t>
      </w:r>
      <w:r w:rsidRPr="0001132D">
        <w:rPr>
          <w:lang w:val="fr-BE"/>
        </w:rPr>
        <w:t>)</w:t>
      </w:r>
    </w:p>
    <w:p w:rsidR="00A75CCB" w:rsidRPr="0001132D" w:rsidRDefault="00A75CCB" w:rsidP="00AD2411">
      <w:pPr>
        <w:pStyle w:val="ListParagraph"/>
        <w:numPr>
          <w:ilvl w:val="1"/>
          <w:numId w:val="13"/>
        </w:numPr>
        <w:rPr>
          <w:lang w:val="fr-BE"/>
        </w:rPr>
      </w:pPr>
      <w:r w:rsidRPr="0001132D">
        <w:rPr>
          <w:lang w:val="fr-BE"/>
        </w:rPr>
        <w:t xml:space="preserve">La nature juridique de l’Union </w:t>
      </w:r>
      <w:r w:rsidR="00453A34" w:rsidRPr="0001132D">
        <w:rPr>
          <w:lang w:val="fr-BE"/>
        </w:rPr>
        <w:t xml:space="preserve">européenne </w:t>
      </w:r>
      <w:r w:rsidRPr="0001132D">
        <w:rPr>
          <w:lang w:val="fr-BE"/>
        </w:rPr>
        <w:br/>
        <w:t>(organisation internationale « sui generis », Etat fédéral, « fédération »…)</w:t>
      </w:r>
      <w:r w:rsidR="003C2D25" w:rsidRPr="0001132D">
        <w:rPr>
          <w:lang w:val="fr-BE"/>
        </w:rPr>
        <w:br/>
      </w:r>
      <w:r w:rsidR="00453A34" w:rsidRPr="0001132D">
        <w:rPr>
          <w:lang w:val="fr-BE"/>
        </w:rPr>
        <w:lastRenderedPageBreak/>
        <w:br/>
      </w:r>
    </w:p>
    <w:p w:rsidR="00BF420B" w:rsidRPr="0001132D" w:rsidRDefault="005A24F5" w:rsidP="00AD2411">
      <w:pPr>
        <w:pStyle w:val="ListParagraph"/>
        <w:numPr>
          <w:ilvl w:val="0"/>
          <w:numId w:val="11"/>
        </w:numPr>
        <w:rPr>
          <w:b/>
          <w:lang w:val="fr-BE"/>
        </w:rPr>
      </w:pPr>
      <w:r w:rsidRPr="0001132D">
        <w:rPr>
          <w:b/>
          <w:lang w:val="fr-BE"/>
        </w:rPr>
        <w:t>Manifestations et portée de</w:t>
      </w:r>
      <w:r w:rsidR="00F85FF7" w:rsidRPr="0001132D">
        <w:rPr>
          <w:b/>
          <w:lang w:val="fr-BE"/>
        </w:rPr>
        <w:t xml:space="preserve"> certains </w:t>
      </w:r>
      <w:r w:rsidRPr="0001132D">
        <w:rPr>
          <w:b/>
          <w:lang w:val="fr-BE"/>
        </w:rPr>
        <w:t>p</w:t>
      </w:r>
      <w:r w:rsidR="005105BA" w:rsidRPr="0001132D">
        <w:rPr>
          <w:b/>
          <w:lang w:val="fr-BE"/>
        </w:rPr>
        <w:t xml:space="preserve">rincipes constitutionnels </w:t>
      </w:r>
      <w:r w:rsidRPr="0001132D">
        <w:rPr>
          <w:b/>
          <w:lang w:val="fr-BE"/>
        </w:rPr>
        <w:t xml:space="preserve">dans le droit </w:t>
      </w:r>
      <w:r w:rsidR="005105BA" w:rsidRPr="0001132D">
        <w:rPr>
          <w:b/>
          <w:lang w:val="fr-BE"/>
        </w:rPr>
        <w:t>de l’Union</w:t>
      </w:r>
      <w:r w:rsidR="00E03066" w:rsidRPr="0001132D">
        <w:rPr>
          <w:b/>
          <w:lang w:val="fr-BE"/>
        </w:rPr>
        <w:br/>
      </w:r>
    </w:p>
    <w:p w:rsidR="008A188F" w:rsidRPr="0001132D" w:rsidRDefault="00441AFD" w:rsidP="00AD2411">
      <w:pPr>
        <w:pStyle w:val="ListParagraph"/>
        <w:numPr>
          <w:ilvl w:val="0"/>
          <w:numId w:val="14"/>
        </w:numPr>
        <w:rPr>
          <w:i/>
          <w:lang w:val="fr-BE"/>
        </w:rPr>
      </w:pPr>
      <w:r w:rsidRPr="0001132D">
        <w:rPr>
          <w:i/>
          <w:lang w:val="fr-BE"/>
        </w:rPr>
        <w:t xml:space="preserve">Les valeurs inscrites à l’art. 2 TUE et </w:t>
      </w:r>
      <w:r w:rsidR="008A188F" w:rsidRPr="0001132D">
        <w:rPr>
          <w:i/>
          <w:lang w:val="fr-BE"/>
        </w:rPr>
        <w:t xml:space="preserve">la révision des traités sur lesquels l’Union est fondée </w:t>
      </w:r>
      <w:r w:rsidR="008A188F" w:rsidRPr="0001132D">
        <w:rPr>
          <w:i/>
          <w:lang w:val="fr-BE"/>
        </w:rPr>
        <w:br/>
      </w:r>
    </w:p>
    <w:p w:rsidR="008A188F" w:rsidRPr="0001132D" w:rsidRDefault="008A188F" w:rsidP="00AD2411">
      <w:pPr>
        <w:pStyle w:val="ListParagraph"/>
        <w:numPr>
          <w:ilvl w:val="1"/>
          <w:numId w:val="14"/>
        </w:numPr>
        <w:rPr>
          <w:lang w:val="fr-BE"/>
        </w:rPr>
      </w:pPr>
      <w:r w:rsidRPr="0001132D">
        <w:rPr>
          <w:lang w:val="fr-BE"/>
        </w:rPr>
        <w:t>Révision des traités</w:t>
      </w:r>
    </w:p>
    <w:p w:rsidR="008A188F" w:rsidRPr="0001132D" w:rsidRDefault="008A188F" w:rsidP="00AD2411">
      <w:pPr>
        <w:pStyle w:val="ListParagraph"/>
        <w:numPr>
          <w:ilvl w:val="1"/>
          <w:numId w:val="14"/>
        </w:numPr>
        <w:rPr>
          <w:lang w:val="fr-BE"/>
        </w:rPr>
      </w:pPr>
      <w:r w:rsidRPr="0001132D">
        <w:rPr>
          <w:lang w:val="fr-BE"/>
        </w:rPr>
        <w:t>Adhésion à l’Union</w:t>
      </w:r>
    </w:p>
    <w:p w:rsidR="008A188F" w:rsidRPr="0001132D" w:rsidRDefault="008A188F" w:rsidP="00AD2411">
      <w:pPr>
        <w:pStyle w:val="ListParagraph"/>
        <w:numPr>
          <w:ilvl w:val="1"/>
          <w:numId w:val="14"/>
        </w:numPr>
        <w:rPr>
          <w:lang w:val="fr-BE"/>
        </w:rPr>
      </w:pPr>
      <w:r w:rsidRPr="0001132D">
        <w:rPr>
          <w:lang w:val="fr-BE"/>
        </w:rPr>
        <w:t>Sanctions en cas de violation</w:t>
      </w:r>
      <w:r w:rsidR="00C5374E" w:rsidRPr="0001132D">
        <w:rPr>
          <w:lang w:val="fr-BE"/>
        </w:rPr>
        <w:t>s</w:t>
      </w:r>
      <w:r w:rsidRPr="0001132D">
        <w:rPr>
          <w:lang w:val="fr-BE"/>
        </w:rPr>
        <w:t xml:space="preserve"> graves des valeurs de l’Union</w:t>
      </w:r>
    </w:p>
    <w:p w:rsidR="008A188F" w:rsidRPr="0001132D" w:rsidRDefault="008A188F" w:rsidP="00AD2411">
      <w:pPr>
        <w:pStyle w:val="ListParagraph"/>
        <w:numPr>
          <w:ilvl w:val="1"/>
          <w:numId w:val="14"/>
        </w:numPr>
        <w:rPr>
          <w:lang w:val="fr-BE"/>
        </w:rPr>
      </w:pPr>
      <w:r w:rsidRPr="0001132D">
        <w:rPr>
          <w:lang w:val="fr-BE"/>
        </w:rPr>
        <w:t>Le retrait</w:t>
      </w:r>
    </w:p>
    <w:p w:rsidR="008A188F" w:rsidRPr="0001132D" w:rsidRDefault="008A188F" w:rsidP="008A188F">
      <w:pPr>
        <w:pStyle w:val="ListParagraph"/>
        <w:ind w:left="1068"/>
        <w:rPr>
          <w:i/>
          <w:lang w:val="fr-BE"/>
        </w:rPr>
      </w:pPr>
    </w:p>
    <w:p w:rsidR="004D6D87" w:rsidRPr="0001132D" w:rsidRDefault="00CB7B86" w:rsidP="00AD2411">
      <w:pPr>
        <w:pStyle w:val="ListParagraph"/>
        <w:numPr>
          <w:ilvl w:val="0"/>
          <w:numId w:val="14"/>
        </w:numPr>
        <w:rPr>
          <w:i/>
          <w:lang w:val="fr-BE"/>
        </w:rPr>
      </w:pPr>
      <w:r w:rsidRPr="0001132D">
        <w:rPr>
          <w:i/>
          <w:lang w:val="fr-BE"/>
        </w:rPr>
        <w:t>D</w:t>
      </w:r>
      <w:r w:rsidR="00A37E44" w:rsidRPr="0001132D">
        <w:rPr>
          <w:i/>
          <w:lang w:val="fr-BE"/>
        </w:rPr>
        <w:t xml:space="preserve">ans l’organisation « horizontale » des pouvoirs </w:t>
      </w:r>
      <w:r w:rsidR="004D6D87" w:rsidRPr="0001132D">
        <w:rPr>
          <w:i/>
          <w:lang w:val="fr-BE"/>
        </w:rPr>
        <w:br/>
      </w:r>
    </w:p>
    <w:p w:rsidR="00A37E44" w:rsidRPr="0001132D" w:rsidRDefault="00A37E44" w:rsidP="00AD2411">
      <w:pPr>
        <w:pStyle w:val="ListParagraph"/>
        <w:numPr>
          <w:ilvl w:val="1"/>
          <w:numId w:val="14"/>
        </w:numPr>
        <w:rPr>
          <w:lang w:val="fr-BE"/>
        </w:rPr>
      </w:pPr>
      <w:r w:rsidRPr="0001132D">
        <w:rPr>
          <w:lang w:val="fr-BE"/>
        </w:rPr>
        <w:t xml:space="preserve">Le principe </w:t>
      </w:r>
      <w:r w:rsidR="00633FD2" w:rsidRPr="0001132D">
        <w:rPr>
          <w:lang w:val="fr-BE"/>
        </w:rPr>
        <w:t xml:space="preserve">de </w:t>
      </w:r>
      <w:r w:rsidRPr="0001132D">
        <w:rPr>
          <w:lang w:val="fr-BE"/>
        </w:rPr>
        <w:t>l’Etat de droit</w:t>
      </w:r>
      <w:r w:rsidR="00BC0D5E" w:rsidRPr="0001132D">
        <w:rPr>
          <w:lang w:val="fr-BE"/>
        </w:rPr>
        <w:t xml:space="preserve"> (« </w:t>
      </w:r>
      <w:proofErr w:type="spellStart"/>
      <w:r w:rsidR="00BC0D5E" w:rsidRPr="0001132D">
        <w:rPr>
          <w:lang w:val="fr-BE"/>
        </w:rPr>
        <w:t>rule</w:t>
      </w:r>
      <w:proofErr w:type="spellEnd"/>
      <w:r w:rsidR="00BC0D5E" w:rsidRPr="0001132D">
        <w:rPr>
          <w:lang w:val="fr-BE"/>
        </w:rPr>
        <w:t xml:space="preserve"> of </w:t>
      </w:r>
      <w:proofErr w:type="spellStart"/>
      <w:r w:rsidR="00BC0D5E" w:rsidRPr="0001132D">
        <w:rPr>
          <w:lang w:val="fr-BE"/>
        </w:rPr>
        <w:t>law</w:t>
      </w:r>
      <w:proofErr w:type="spellEnd"/>
      <w:r w:rsidR="00BC0D5E" w:rsidRPr="0001132D">
        <w:rPr>
          <w:lang w:val="fr-BE"/>
        </w:rPr>
        <w:t> »)</w:t>
      </w:r>
      <w:r w:rsidR="0081143A" w:rsidRPr="0001132D">
        <w:rPr>
          <w:lang w:val="fr-BE"/>
        </w:rPr>
        <w:br/>
        <w:t>(</w:t>
      </w:r>
      <w:r w:rsidR="00F82319" w:rsidRPr="0001132D">
        <w:rPr>
          <w:lang w:val="fr-BE"/>
        </w:rPr>
        <w:t xml:space="preserve">équilibre institutionnel ou </w:t>
      </w:r>
      <w:r w:rsidR="000709FF" w:rsidRPr="0001132D">
        <w:rPr>
          <w:lang w:val="fr-BE"/>
        </w:rPr>
        <w:t>« séparation » des pouvoirs</w:t>
      </w:r>
      <w:r w:rsidR="001849D9" w:rsidRPr="0001132D">
        <w:rPr>
          <w:lang w:val="fr-BE"/>
        </w:rPr>
        <w:t> ;</w:t>
      </w:r>
      <w:r w:rsidR="000709FF" w:rsidRPr="0001132D">
        <w:rPr>
          <w:lang w:val="fr-BE"/>
        </w:rPr>
        <w:t>conception des « actes législatifs » de l’Union</w:t>
      </w:r>
      <w:r w:rsidR="001849D9" w:rsidRPr="0001132D">
        <w:rPr>
          <w:lang w:val="fr-BE"/>
        </w:rPr>
        <w:t> ;le contrôle juridictionnel des actes de l’Union</w:t>
      </w:r>
      <w:r w:rsidR="00617730" w:rsidRPr="0001132D">
        <w:rPr>
          <w:lang w:val="fr-BE"/>
        </w:rPr>
        <w:t>)</w:t>
      </w:r>
    </w:p>
    <w:p w:rsidR="00A37E44" w:rsidRPr="0001132D" w:rsidRDefault="005A6EDF" w:rsidP="00AD2411">
      <w:pPr>
        <w:pStyle w:val="ListParagraph"/>
        <w:numPr>
          <w:ilvl w:val="1"/>
          <w:numId w:val="14"/>
        </w:numPr>
        <w:rPr>
          <w:lang w:val="fr-BE"/>
        </w:rPr>
      </w:pPr>
      <w:r w:rsidRPr="0001132D">
        <w:rPr>
          <w:lang w:val="fr-BE"/>
        </w:rPr>
        <w:t xml:space="preserve">Le </w:t>
      </w:r>
      <w:r w:rsidR="004D6D87" w:rsidRPr="0001132D">
        <w:rPr>
          <w:lang w:val="fr-BE"/>
        </w:rPr>
        <w:t xml:space="preserve">principe </w:t>
      </w:r>
      <w:r w:rsidR="00AC2234" w:rsidRPr="0001132D">
        <w:rPr>
          <w:lang w:val="fr-BE"/>
        </w:rPr>
        <w:t xml:space="preserve">démocratique </w:t>
      </w:r>
      <w:r w:rsidRPr="0001132D">
        <w:rPr>
          <w:lang w:val="fr-BE"/>
        </w:rPr>
        <w:br/>
        <w:t xml:space="preserve">(régulateur des relations </w:t>
      </w:r>
      <w:r w:rsidR="00E62822" w:rsidRPr="0001132D">
        <w:rPr>
          <w:lang w:val="fr-BE"/>
        </w:rPr>
        <w:t>interinstitutionnelles</w:t>
      </w:r>
      <w:r w:rsidRPr="0001132D">
        <w:rPr>
          <w:lang w:val="fr-BE"/>
        </w:rPr>
        <w:t> ?)</w:t>
      </w:r>
    </w:p>
    <w:p w:rsidR="00E03066" w:rsidRPr="0001132D" w:rsidRDefault="00E03066" w:rsidP="00A37E44">
      <w:pPr>
        <w:pStyle w:val="ListParagraph"/>
        <w:ind w:left="1788"/>
        <w:rPr>
          <w:lang w:val="fr-BE"/>
        </w:rPr>
      </w:pPr>
    </w:p>
    <w:p w:rsidR="00A37E44" w:rsidRPr="0001132D" w:rsidRDefault="00CB7B86" w:rsidP="00AD2411">
      <w:pPr>
        <w:pStyle w:val="ListParagraph"/>
        <w:numPr>
          <w:ilvl w:val="0"/>
          <w:numId w:val="14"/>
        </w:numPr>
        <w:rPr>
          <w:i/>
          <w:lang w:val="fr-BE"/>
        </w:rPr>
      </w:pPr>
      <w:r w:rsidRPr="0001132D">
        <w:rPr>
          <w:i/>
          <w:lang w:val="fr-BE"/>
        </w:rPr>
        <w:t>D</w:t>
      </w:r>
      <w:r w:rsidR="00A37E44" w:rsidRPr="0001132D">
        <w:rPr>
          <w:i/>
          <w:lang w:val="fr-BE"/>
        </w:rPr>
        <w:t>ans les rapports entre l’Union et ses citoyens</w:t>
      </w:r>
      <w:r w:rsidR="00A37E44" w:rsidRPr="0001132D">
        <w:rPr>
          <w:i/>
          <w:lang w:val="fr-BE"/>
        </w:rPr>
        <w:br/>
      </w:r>
    </w:p>
    <w:p w:rsidR="00A37E44" w:rsidRPr="0001132D" w:rsidRDefault="00A1080A" w:rsidP="00AD2411">
      <w:pPr>
        <w:pStyle w:val="ListParagraph"/>
        <w:numPr>
          <w:ilvl w:val="1"/>
          <w:numId w:val="14"/>
        </w:numPr>
        <w:rPr>
          <w:lang w:val="fr-BE"/>
        </w:rPr>
      </w:pPr>
      <w:r w:rsidRPr="0001132D">
        <w:rPr>
          <w:lang w:val="fr-BE"/>
        </w:rPr>
        <w:t>Le principe d</w:t>
      </w:r>
      <w:r w:rsidR="00633FD2" w:rsidRPr="0001132D">
        <w:rPr>
          <w:lang w:val="fr-BE"/>
        </w:rPr>
        <w:t>e l</w:t>
      </w:r>
      <w:r w:rsidRPr="0001132D">
        <w:rPr>
          <w:lang w:val="fr-BE"/>
        </w:rPr>
        <w:t>’Etat de droit</w:t>
      </w:r>
      <w:r w:rsidR="00BD0427" w:rsidRPr="0001132D">
        <w:rPr>
          <w:lang w:val="fr-BE"/>
        </w:rPr>
        <w:br/>
        <w:t>(</w:t>
      </w:r>
      <w:r w:rsidR="0066675D" w:rsidRPr="0001132D">
        <w:rPr>
          <w:lang w:val="fr-BE"/>
        </w:rPr>
        <w:t>reconnaissance et protection de droits aux individus ; l’impact de la Charte des droits fondamentaux et de la possible adhésion de l’Union à la CEDH)</w:t>
      </w:r>
    </w:p>
    <w:p w:rsidR="00A37E44" w:rsidRPr="0001132D" w:rsidRDefault="00A37E44" w:rsidP="00AD2411">
      <w:pPr>
        <w:pStyle w:val="ListParagraph"/>
        <w:numPr>
          <w:ilvl w:val="1"/>
          <w:numId w:val="14"/>
        </w:numPr>
        <w:rPr>
          <w:lang w:val="fr-BE"/>
        </w:rPr>
      </w:pPr>
      <w:r w:rsidRPr="0001132D">
        <w:rPr>
          <w:lang w:val="fr-BE"/>
        </w:rPr>
        <w:t>Le</w:t>
      </w:r>
      <w:r w:rsidR="000B5B2B" w:rsidRPr="0001132D">
        <w:rPr>
          <w:lang w:val="fr-BE"/>
        </w:rPr>
        <w:t>s« </w:t>
      </w:r>
      <w:r w:rsidRPr="0001132D">
        <w:rPr>
          <w:lang w:val="fr-BE"/>
        </w:rPr>
        <w:t>principe</w:t>
      </w:r>
      <w:r w:rsidR="000B5B2B" w:rsidRPr="0001132D">
        <w:rPr>
          <w:lang w:val="fr-BE"/>
        </w:rPr>
        <w:t>s</w:t>
      </w:r>
      <w:r w:rsidRPr="0001132D">
        <w:rPr>
          <w:lang w:val="fr-BE"/>
        </w:rPr>
        <w:t xml:space="preserve"> démocratique</w:t>
      </w:r>
      <w:r w:rsidR="000B5B2B" w:rsidRPr="0001132D">
        <w:rPr>
          <w:lang w:val="fr-BE"/>
        </w:rPr>
        <w:t>s » (titre II TUE)</w:t>
      </w:r>
      <w:r w:rsidR="0066675D" w:rsidRPr="0001132D">
        <w:rPr>
          <w:lang w:val="fr-BE"/>
        </w:rPr>
        <w:br/>
        <w:t xml:space="preserve">(représentation démocratique au niveau de l’Union ; question du « déficit démocratique » ; « compensations » d’ordre institutionnel)  </w:t>
      </w:r>
    </w:p>
    <w:p w:rsidR="00E03066" w:rsidRPr="0001132D" w:rsidRDefault="00E03066" w:rsidP="00633FD2">
      <w:pPr>
        <w:pStyle w:val="ListParagraph"/>
        <w:ind w:left="1788"/>
        <w:rPr>
          <w:lang w:val="fr-BE"/>
        </w:rPr>
      </w:pPr>
    </w:p>
    <w:p w:rsidR="00633FD2" w:rsidRPr="0001132D" w:rsidRDefault="00153890" w:rsidP="00AD2411">
      <w:pPr>
        <w:pStyle w:val="ListParagraph"/>
        <w:numPr>
          <w:ilvl w:val="0"/>
          <w:numId w:val="14"/>
        </w:numPr>
        <w:rPr>
          <w:i/>
          <w:lang w:val="fr-BE"/>
        </w:rPr>
      </w:pPr>
      <w:r w:rsidRPr="0001132D">
        <w:rPr>
          <w:i/>
          <w:lang w:val="fr-BE"/>
        </w:rPr>
        <w:t>D</w:t>
      </w:r>
      <w:r w:rsidR="00633FD2" w:rsidRPr="0001132D">
        <w:rPr>
          <w:i/>
          <w:lang w:val="fr-BE"/>
        </w:rPr>
        <w:t>ans le</w:t>
      </w:r>
      <w:r w:rsidR="003807C1" w:rsidRPr="0001132D">
        <w:rPr>
          <w:i/>
          <w:lang w:val="fr-BE"/>
        </w:rPr>
        <w:t>s</w:t>
      </w:r>
      <w:r w:rsidR="00633FD2" w:rsidRPr="0001132D">
        <w:rPr>
          <w:i/>
          <w:lang w:val="fr-BE"/>
        </w:rPr>
        <w:t xml:space="preserve"> rapport</w:t>
      </w:r>
      <w:r w:rsidR="003807C1" w:rsidRPr="0001132D">
        <w:rPr>
          <w:i/>
          <w:lang w:val="fr-BE"/>
        </w:rPr>
        <w:t>s</w:t>
      </w:r>
      <w:r w:rsidR="00633FD2" w:rsidRPr="0001132D">
        <w:rPr>
          <w:i/>
          <w:lang w:val="fr-BE"/>
        </w:rPr>
        <w:t xml:space="preserve"> entre l’Union et ses Etats membres </w:t>
      </w:r>
      <w:r w:rsidR="00633FD2" w:rsidRPr="0001132D">
        <w:rPr>
          <w:i/>
          <w:lang w:val="fr-BE"/>
        </w:rPr>
        <w:br/>
      </w:r>
    </w:p>
    <w:p w:rsidR="0060531A" w:rsidRPr="0001132D" w:rsidRDefault="0060531A" w:rsidP="00AD2411">
      <w:pPr>
        <w:pStyle w:val="ListParagraph"/>
        <w:numPr>
          <w:ilvl w:val="1"/>
          <w:numId w:val="14"/>
        </w:numPr>
        <w:rPr>
          <w:lang w:val="fr-BE"/>
        </w:rPr>
      </w:pPr>
      <w:r w:rsidRPr="0001132D">
        <w:rPr>
          <w:lang w:val="fr-BE"/>
        </w:rPr>
        <w:t>Le principe d</w:t>
      </w:r>
      <w:r w:rsidR="00153890" w:rsidRPr="0001132D">
        <w:rPr>
          <w:lang w:val="fr-BE"/>
        </w:rPr>
        <w:t>e l</w:t>
      </w:r>
      <w:r w:rsidRPr="0001132D">
        <w:rPr>
          <w:lang w:val="fr-BE"/>
        </w:rPr>
        <w:t>’Etat de droit</w:t>
      </w:r>
      <w:r w:rsidR="00585D6F" w:rsidRPr="0001132D">
        <w:rPr>
          <w:lang w:val="fr-BE"/>
        </w:rPr>
        <w:br/>
        <w:t xml:space="preserve">(le principe d’attribution </w:t>
      </w:r>
      <w:r w:rsidR="005F5FBF" w:rsidRPr="0001132D">
        <w:rPr>
          <w:lang w:val="fr-BE"/>
        </w:rPr>
        <w:t>des compétences ; le principe de la subsidiarité</w:t>
      </w:r>
      <w:r w:rsidR="000E2D7F" w:rsidRPr="0001132D">
        <w:rPr>
          <w:lang w:val="fr-BE"/>
        </w:rPr>
        <w:t>)</w:t>
      </w:r>
    </w:p>
    <w:p w:rsidR="00A50AC6" w:rsidRPr="0001132D" w:rsidRDefault="00633FD2" w:rsidP="00AD2411">
      <w:pPr>
        <w:pStyle w:val="ListParagraph"/>
        <w:numPr>
          <w:ilvl w:val="1"/>
          <w:numId w:val="14"/>
        </w:numPr>
        <w:rPr>
          <w:lang w:val="fr-BE"/>
        </w:rPr>
      </w:pPr>
      <w:r w:rsidRPr="0001132D">
        <w:rPr>
          <w:lang w:val="fr-BE"/>
        </w:rPr>
        <w:t xml:space="preserve">Le </w:t>
      </w:r>
      <w:r w:rsidR="00153890" w:rsidRPr="0001132D">
        <w:rPr>
          <w:lang w:val="fr-BE"/>
        </w:rPr>
        <w:t xml:space="preserve">principe </w:t>
      </w:r>
      <w:r w:rsidR="00581B6D" w:rsidRPr="0001132D">
        <w:rPr>
          <w:lang w:val="fr-BE"/>
        </w:rPr>
        <w:t xml:space="preserve">démocratique </w:t>
      </w:r>
      <w:r w:rsidR="000E2D7F" w:rsidRPr="0001132D">
        <w:rPr>
          <w:lang w:val="fr-BE"/>
        </w:rPr>
        <w:br/>
        <w:t>(</w:t>
      </w:r>
      <w:r w:rsidR="00DB4449" w:rsidRPr="0001132D">
        <w:rPr>
          <w:lang w:val="fr-BE"/>
        </w:rPr>
        <w:t xml:space="preserve">régulateur des relations entre </w:t>
      </w:r>
      <w:r w:rsidR="00C5374E" w:rsidRPr="0001132D">
        <w:rPr>
          <w:lang w:val="fr-BE"/>
        </w:rPr>
        <w:t>l’</w:t>
      </w:r>
      <w:r w:rsidR="00DB4449" w:rsidRPr="0001132D">
        <w:rPr>
          <w:lang w:val="fr-BE"/>
        </w:rPr>
        <w:t>Union et ses Etats ?)</w:t>
      </w:r>
    </w:p>
    <w:p w:rsidR="009B1EE5" w:rsidRPr="0001132D" w:rsidRDefault="008E6FD9" w:rsidP="00AD2411">
      <w:pPr>
        <w:pStyle w:val="ListParagraph"/>
        <w:numPr>
          <w:ilvl w:val="1"/>
          <w:numId w:val="14"/>
        </w:numPr>
        <w:rPr>
          <w:lang w:val="fr-BE"/>
        </w:rPr>
      </w:pPr>
      <w:r w:rsidRPr="0001132D">
        <w:rPr>
          <w:lang w:val="fr-BE"/>
        </w:rPr>
        <w:t xml:space="preserve">Le principe de coopération </w:t>
      </w:r>
      <w:r w:rsidR="00581B6D" w:rsidRPr="0001132D">
        <w:rPr>
          <w:lang w:val="fr-BE"/>
        </w:rPr>
        <w:t>loyale</w:t>
      </w:r>
      <w:r w:rsidR="00581B6D" w:rsidRPr="0001132D">
        <w:rPr>
          <w:lang w:val="fr-BE"/>
        </w:rPr>
        <w:br/>
      </w:r>
      <w:r w:rsidR="00FF7D64" w:rsidRPr="0001132D">
        <w:rPr>
          <w:lang w:val="fr-BE"/>
        </w:rPr>
        <w:t>(</w:t>
      </w:r>
      <w:r w:rsidR="00753A25" w:rsidRPr="0001132D">
        <w:rPr>
          <w:lang w:val="fr-BE"/>
        </w:rPr>
        <w:t>un principe « fédéral » ?; implications pour les Etats membres ; implications pour les institutions de l’Union)</w:t>
      </w:r>
      <w:r w:rsidR="00DB4449" w:rsidRPr="0001132D">
        <w:rPr>
          <w:lang w:val="fr-BE"/>
        </w:rPr>
        <w:br/>
      </w:r>
    </w:p>
    <w:p w:rsidR="00366885" w:rsidRPr="0001132D" w:rsidRDefault="00366885" w:rsidP="00AD2411">
      <w:pPr>
        <w:pStyle w:val="ListParagraph"/>
        <w:numPr>
          <w:ilvl w:val="0"/>
          <w:numId w:val="14"/>
        </w:numPr>
        <w:rPr>
          <w:i/>
          <w:lang w:val="fr-BE"/>
        </w:rPr>
      </w:pPr>
      <w:r w:rsidRPr="0001132D">
        <w:rPr>
          <w:i/>
          <w:lang w:val="fr-BE"/>
        </w:rPr>
        <w:t>Dans les rapports entre les Etats membres</w:t>
      </w:r>
      <w:r w:rsidRPr="0001132D">
        <w:rPr>
          <w:i/>
          <w:lang w:val="fr-BE"/>
        </w:rPr>
        <w:br/>
      </w:r>
    </w:p>
    <w:p w:rsidR="00366885" w:rsidRPr="0001132D" w:rsidRDefault="00366885" w:rsidP="00AD2411">
      <w:pPr>
        <w:pStyle w:val="ListParagraph"/>
        <w:numPr>
          <w:ilvl w:val="1"/>
          <w:numId w:val="14"/>
        </w:numPr>
        <w:rPr>
          <w:lang w:val="fr-BE"/>
        </w:rPr>
      </w:pPr>
      <w:r w:rsidRPr="0001132D">
        <w:rPr>
          <w:lang w:val="fr-BE"/>
        </w:rPr>
        <w:t>La coopération entre les Etats membres organisée par le traité</w:t>
      </w:r>
    </w:p>
    <w:p w:rsidR="00366885" w:rsidRPr="0001132D" w:rsidRDefault="00366885" w:rsidP="00AD2411">
      <w:pPr>
        <w:pStyle w:val="ListParagraph"/>
        <w:numPr>
          <w:ilvl w:val="1"/>
          <w:numId w:val="14"/>
        </w:numPr>
        <w:rPr>
          <w:lang w:val="fr-BE"/>
        </w:rPr>
      </w:pPr>
      <w:r w:rsidRPr="0001132D">
        <w:rPr>
          <w:lang w:val="fr-BE"/>
        </w:rPr>
        <w:t>La coopération entre les Etats membres organisée à l’extérieur du traité</w:t>
      </w:r>
    </w:p>
    <w:p w:rsidR="00366885" w:rsidRPr="0001132D" w:rsidRDefault="00366885" w:rsidP="00AD2411">
      <w:pPr>
        <w:pStyle w:val="ListParagraph"/>
        <w:numPr>
          <w:ilvl w:val="1"/>
          <w:numId w:val="14"/>
        </w:numPr>
        <w:rPr>
          <w:lang w:val="fr-BE"/>
        </w:rPr>
      </w:pPr>
      <w:r w:rsidRPr="0001132D">
        <w:rPr>
          <w:lang w:val="fr-BE"/>
        </w:rPr>
        <w:t>La « différenciation » entre les Etats membres et leur</w:t>
      </w:r>
      <w:r w:rsidR="00C5374E" w:rsidRPr="0001132D">
        <w:rPr>
          <w:lang w:val="fr-BE"/>
        </w:rPr>
        <w:t>s</w:t>
      </w:r>
      <w:r w:rsidRPr="0001132D">
        <w:rPr>
          <w:lang w:val="fr-BE"/>
        </w:rPr>
        <w:t xml:space="preserve"> citoyens organisée par ou sur base du traité</w:t>
      </w:r>
    </w:p>
    <w:p w:rsidR="00621D23" w:rsidRPr="0001132D" w:rsidRDefault="00621D23" w:rsidP="005E7175">
      <w:pPr>
        <w:rPr>
          <w:lang w:val="fr-BE"/>
        </w:rPr>
      </w:pPr>
    </w:p>
    <w:p w:rsidR="003A1C64" w:rsidRPr="00443008" w:rsidRDefault="003A1C64" w:rsidP="003A1C64">
      <w:pPr>
        <w:pStyle w:val="ListParagraph"/>
        <w:numPr>
          <w:ilvl w:val="0"/>
          <w:numId w:val="11"/>
        </w:numPr>
        <w:spacing w:after="120" w:line="240" w:lineRule="auto"/>
        <w:rPr>
          <w:b/>
          <w:color w:val="7F7F7F" w:themeColor="text1" w:themeTint="80"/>
          <w:lang w:val="fr-BE"/>
        </w:rPr>
      </w:pPr>
      <w:r w:rsidRPr="00443008">
        <w:rPr>
          <w:b/>
          <w:color w:val="7F7F7F" w:themeColor="text1" w:themeTint="80"/>
          <w:lang w:val="fr-BE"/>
        </w:rPr>
        <w:lastRenderedPageBreak/>
        <w:t>Vers un espace constitutionnel européen ?</w:t>
      </w:r>
      <w:r w:rsidRPr="00443008">
        <w:rPr>
          <w:b/>
          <w:color w:val="7F7F7F" w:themeColor="text1" w:themeTint="80"/>
          <w:lang w:val="fr-BE"/>
        </w:rPr>
        <w:br/>
      </w:r>
    </w:p>
    <w:p w:rsidR="003A1C64" w:rsidRPr="00443008" w:rsidRDefault="003A1C64" w:rsidP="003A1C64">
      <w:pPr>
        <w:pStyle w:val="ListParagraph"/>
        <w:rPr>
          <w:color w:val="7F7F7F" w:themeColor="text1" w:themeTint="80"/>
          <w:lang w:val="fr-BE"/>
        </w:rPr>
      </w:pPr>
      <w:r w:rsidRPr="00443008">
        <w:rPr>
          <w:color w:val="7F7F7F" w:themeColor="text1" w:themeTint="80"/>
          <w:lang w:val="fr-BE"/>
        </w:rPr>
        <w:t>Mise en perspective sommaire du droit « constitutionnel de l’Union européenne.</w:t>
      </w:r>
    </w:p>
    <w:p w:rsidR="00443008" w:rsidRPr="00443008" w:rsidRDefault="00443008" w:rsidP="003A1C64">
      <w:pPr>
        <w:pStyle w:val="ListParagraph"/>
        <w:rPr>
          <w:color w:val="7F7F7F" w:themeColor="text1" w:themeTint="80"/>
          <w:lang w:val="fr-BE"/>
        </w:rPr>
      </w:pPr>
    </w:p>
    <w:p w:rsidR="00BE4086" w:rsidRPr="0001132D" w:rsidRDefault="00BE4086" w:rsidP="00BE4086">
      <w:pPr>
        <w:pStyle w:val="Heading3"/>
        <w:rPr>
          <w:lang w:val="fr-BE"/>
        </w:rPr>
      </w:pPr>
      <w:r w:rsidRPr="0001132D">
        <w:rPr>
          <w:lang w:val="fr-BE"/>
        </w:rPr>
        <w:t>Remarques relatives à l’organisation du cours</w:t>
      </w:r>
    </w:p>
    <w:p w:rsidR="00813660" w:rsidRPr="0001132D" w:rsidRDefault="00813660" w:rsidP="00813660">
      <w:pPr>
        <w:rPr>
          <w:lang w:val="fr-BE"/>
        </w:rPr>
      </w:pPr>
    </w:p>
    <w:p w:rsidR="00BE4086" w:rsidRPr="0001132D" w:rsidRDefault="00BE4086" w:rsidP="00BE4086">
      <w:pPr>
        <w:rPr>
          <w:lang w:val="fr-BE"/>
        </w:rPr>
      </w:pPr>
    </w:p>
    <w:p w:rsidR="00BE4086" w:rsidRPr="0001132D" w:rsidRDefault="00B55ADF" w:rsidP="00BE4086">
      <w:pPr>
        <w:rPr>
          <w:b/>
          <w:lang w:val="fr-BE"/>
        </w:rPr>
      </w:pPr>
      <w:r w:rsidRPr="0001132D">
        <w:rPr>
          <w:b/>
          <w:lang w:val="fr-BE"/>
        </w:rPr>
        <w:t>A</w:t>
      </w:r>
      <w:r w:rsidR="00BE4086" w:rsidRPr="0001132D">
        <w:rPr>
          <w:b/>
          <w:lang w:val="fr-BE"/>
        </w:rPr>
        <w:t>.</w:t>
      </w:r>
      <w:r w:rsidR="00BE4086" w:rsidRPr="0001132D">
        <w:rPr>
          <w:b/>
          <w:lang w:val="fr-BE"/>
        </w:rPr>
        <w:tab/>
        <w:t>Objectifs du cours</w:t>
      </w:r>
      <w:r w:rsidR="00BE4086" w:rsidRPr="0001132D">
        <w:rPr>
          <w:b/>
          <w:lang w:val="fr-BE"/>
        </w:rPr>
        <w:br/>
      </w:r>
    </w:p>
    <w:p w:rsidR="00BE4086" w:rsidRPr="0001132D" w:rsidRDefault="00BE4086" w:rsidP="00BE4086">
      <w:pPr>
        <w:pStyle w:val="ListParagraph"/>
        <w:numPr>
          <w:ilvl w:val="0"/>
          <w:numId w:val="8"/>
        </w:numPr>
        <w:rPr>
          <w:lang w:val="fr-BE"/>
        </w:rPr>
      </w:pPr>
      <w:r w:rsidRPr="0001132D">
        <w:rPr>
          <w:lang w:val="fr-BE"/>
        </w:rPr>
        <w:t>Première partie du cours :</w:t>
      </w:r>
      <w:r w:rsidRPr="0001132D">
        <w:rPr>
          <w:lang w:val="fr-BE"/>
        </w:rPr>
        <w:br/>
      </w:r>
      <w:r w:rsidRPr="0001132D">
        <w:rPr>
          <w:lang w:val="fr-BE"/>
        </w:rPr>
        <w:br/>
        <w:t>Récapituler les traits principaux du droit institutionnel de l’Union européenne afin de permettre aux étudiants de rafraîchir leurs connaissances et de les mettre à jour;</w:t>
      </w:r>
      <w:r w:rsidRPr="0001132D">
        <w:rPr>
          <w:lang w:val="fr-BE"/>
        </w:rPr>
        <w:br/>
      </w:r>
    </w:p>
    <w:p w:rsidR="00BE4086" w:rsidRPr="0001132D" w:rsidRDefault="00BE4086" w:rsidP="00BE4086">
      <w:pPr>
        <w:pStyle w:val="ListParagraph"/>
        <w:numPr>
          <w:ilvl w:val="0"/>
          <w:numId w:val="8"/>
        </w:numPr>
        <w:rPr>
          <w:lang w:val="fr-BE"/>
        </w:rPr>
      </w:pPr>
      <w:r w:rsidRPr="0001132D">
        <w:rPr>
          <w:lang w:val="fr-BE"/>
        </w:rPr>
        <w:t>Deuxième partie du cours :</w:t>
      </w:r>
      <w:r w:rsidRPr="0001132D">
        <w:rPr>
          <w:lang w:val="fr-BE"/>
        </w:rPr>
        <w:br/>
      </w:r>
      <w:r w:rsidRPr="0001132D">
        <w:rPr>
          <w:lang w:val="fr-BE"/>
        </w:rPr>
        <w:br/>
        <w:t>Examiner, sur base d’une analyse de la notion de constitution et de sa fonction, les traits constitutionnels des traités sur lesquels l’Union est fondée (TUE et TFUE)</w:t>
      </w:r>
      <w:r w:rsidR="0095749E" w:rsidRPr="0001132D">
        <w:rPr>
          <w:lang w:val="fr-BE"/>
        </w:rPr>
        <w:t> ;</w:t>
      </w:r>
      <w:r w:rsidR="0095749E" w:rsidRPr="0001132D">
        <w:rPr>
          <w:lang w:val="fr-BE"/>
        </w:rPr>
        <w:br/>
      </w:r>
      <w:r w:rsidR="0095749E" w:rsidRPr="0001132D">
        <w:rPr>
          <w:lang w:val="fr-BE"/>
        </w:rPr>
        <w:br/>
        <w:t xml:space="preserve">Réaliser </w:t>
      </w:r>
      <w:r w:rsidRPr="0001132D">
        <w:rPr>
          <w:lang w:val="fr-BE"/>
        </w:rPr>
        <w:t>que certaines interprétations des notions traditionnelles du droit public ne reflètent plus toujours entièrement les réalités et développements institutionnels de nos jours ;</w:t>
      </w:r>
      <w:r w:rsidRPr="0001132D">
        <w:rPr>
          <w:lang w:val="fr-BE"/>
        </w:rPr>
        <w:br/>
      </w:r>
    </w:p>
    <w:p w:rsidR="00BE4086" w:rsidRPr="0001132D" w:rsidRDefault="00BE4086" w:rsidP="00BE4086">
      <w:pPr>
        <w:pStyle w:val="ListParagraph"/>
        <w:numPr>
          <w:ilvl w:val="0"/>
          <w:numId w:val="8"/>
        </w:numPr>
        <w:rPr>
          <w:lang w:val="fr-BE"/>
        </w:rPr>
      </w:pPr>
      <w:r w:rsidRPr="0001132D">
        <w:rPr>
          <w:lang w:val="fr-BE"/>
        </w:rPr>
        <w:t>Troisième partie du cours :</w:t>
      </w:r>
      <w:r w:rsidRPr="0001132D">
        <w:rPr>
          <w:lang w:val="fr-BE"/>
        </w:rPr>
        <w:br/>
      </w:r>
      <w:r w:rsidRPr="0001132D">
        <w:rPr>
          <w:lang w:val="fr-BE"/>
        </w:rPr>
        <w:br/>
        <w:t>Analyser dans quelle mesure certains des principes inscrits à l’article 2 TUE se manifestent dans le droit constitutionnel de l’Union</w:t>
      </w:r>
      <w:r w:rsidR="0095749E" w:rsidRPr="0001132D">
        <w:rPr>
          <w:lang w:val="fr-BE"/>
        </w:rPr>
        <w:t> ;</w:t>
      </w:r>
      <w:r w:rsidR="0095749E" w:rsidRPr="0001132D">
        <w:rPr>
          <w:lang w:val="fr-BE"/>
        </w:rPr>
        <w:br/>
      </w:r>
      <w:r w:rsidR="0095749E" w:rsidRPr="0001132D">
        <w:rPr>
          <w:lang w:val="fr-BE"/>
        </w:rPr>
        <w:br/>
        <w:t xml:space="preserve">Réaliser </w:t>
      </w:r>
      <w:r w:rsidR="00297867" w:rsidRPr="0001132D">
        <w:rPr>
          <w:lang w:val="fr-BE"/>
        </w:rPr>
        <w:t xml:space="preserve">ainsi </w:t>
      </w:r>
      <w:r w:rsidR="0095749E" w:rsidRPr="0001132D">
        <w:rPr>
          <w:lang w:val="fr-BE"/>
        </w:rPr>
        <w:t xml:space="preserve">que </w:t>
      </w:r>
      <w:r w:rsidR="00297867" w:rsidRPr="0001132D">
        <w:rPr>
          <w:lang w:val="fr-BE"/>
        </w:rPr>
        <w:t>l’analyse des traités UE et FUE sous un angle constitutionnel</w:t>
      </w:r>
      <w:r w:rsidR="00EF38F5" w:rsidRPr="0001132D">
        <w:rPr>
          <w:lang w:val="fr-BE"/>
        </w:rPr>
        <w:t xml:space="preserve"> n’est </w:t>
      </w:r>
      <w:r w:rsidR="00297867" w:rsidRPr="0001132D">
        <w:rPr>
          <w:lang w:val="fr-BE"/>
        </w:rPr>
        <w:t xml:space="preserve">utile </w:t>
      </w:r>
      <w:r w:rsidR="00EF38F5" w:rsidRPr="0001132D">
        <w:rPr>
          <w:lang w:val="fr-BE"/>
        </w:rPr>
        <w:t>afin de mieux comprendre la nature juridique particulière du droit de l’Union européenne – et donc légitime qu’à condition qu’elle n’efface pas facilement</w:t>
      </w:r>
      <w:r w:rsidR="00B82F3E">
        <w:rPr>
          <w:lang w:val="fr-BE"/>
        </w:rPr>
        <w:t xml:space="preserve"> </w:t>
      </w:r>
      <w:r w:rsidR="00EF38F5" w:rsidRPr="0001132D">
        <w:rPr>
          <w:lang w:val="fr-BE"/>
        </w:rPr>
        <w:t>s</w:t>
      </w:r>
      <w:r w:rsidR="00297867" w:rsidRPr="0001132D">
        <w:rPr>
          <w:lang w:val="fr-BE"/>
        </w:rPr>
        <w:t>es spécificités</w:t>
      </w:r>
      <w:r w:rsidR="00EF38F5" w:rsidRPr="0001132D">
        <w:rPr>
          <w:lang w:val="fr-BE"/>
        </w:rPr>
        <w:t> ;</w:t>
      </w:r>
      <w:r w:rsidR="00297867" w:rsidRPr="0001132D">
        <w:rPr>
          <w:lang w:val="fr-BE"/>
        </w:rPr>
        <w:br/>
      </w:r>
    </w:p>
    <w:p w:rsidR="00297867" w:rsidRPr="0001132D" w:rsidRDefault="00297867" w:rsidP="00BE4086">
      <w:pPr>
        <w:pStyle w:val="ListParagraph"/>
        <w:numPr>
          <w:ilvl w:val="0"/>
          <w:numId w:val="8"/>
        </w:numPr>
        <w:rPr>
          <w:lang w:val="fr-BE"/>
        </w:rPr>
      </w:pPr>
      <w:r w:rsidRPr="0001132D">
        <w:rPr>
          <w:lang w:val="fr-BE"/>
        </w:rPr>
        <w:t>Quatrième partie du cours :</w:t>
      </w:r>
      <w:r w:rsidRPr="0001132D">
        <w:rPr>
          <w:lang w:val="fr-BE"/>
        </w:rPr>
        <w:br/>
      </w:r>
      <w:r w:rsidRPr="0001132D">
        <w:rPr>
          <w:lang w:val="fr-BE"/>
        </w:rPr>
        <w:br/>
      </w:r>
      <w:r w:rsidRPr="0001132D">
        <w:rPr>
          <w:color w:val="000000"/>
          <w:lang w:val="fr-BE"/>
        </w:rPr>
        <w:t>Mettre le processus de « constitutionnalisation » des traités de l’Union européenne dans le contexte plus large que l’on caractérise parfois d’ « espace constitutionnel européen ».</w:t>
      </w:r>
    </w:p>
    <w:p w:rsidR="00297867" w:rsidRPr="0001132D" w:rsidRDefault="00297867" w:rsidP="00297867">
      <w:pPr>
        <w:rPr>
          <w:lang w:val="fr-BE"/>
        </w:rPr>
      </w:pPr>
    </w:p>
    <w:p w:rsidR="00813660" w:rsidRPr="0001132D" w:rsidRDefault="00813660">
      <w:pPr>
        <w:rPr>
          <w:u w:val="single"/>
          <w:lang w:val="fr-BE"/>
        </w:rPr>
      </w:pPr>
      <w:r w:rsidRPr="0001132D">
        <w:rPr>
          <w:u w:val="single"/>
          <w:lang w:val="fr-BE"/>
        </w:rPr>
        <w:br w:type="page"/>
      </w:r>
    </w:p>
    <w:p w:rsidR="00BE4086" w:rsidRPr="0001132D" w:rsidRDefault="00BE4086" w:rsidP="00BE4086">
      <w:pPr>
        <w:rPr>
          <w:u w:val="single"/>
          <w:lang w:val="fr-BE"/>
        </w:rPr>
      </w:pPr>
    </w:p>
    <w:p w:rsidR="00BE4086" w:rsidRPr="0001132D" w:rsidRDefault="00B55ADF" w:rsidP="00BE4086">
      <w:pPr>
        <w:rPr>
          <w:b/>
          <w:lang w:val="fr-BE"/>
        </w:rPr>
      </w:pPr>
      <w:r w:rsidRPr="0001132D">
        <w:rPr>
          <w:b/>
          <w:lang w:val="fr-BE"/>
        </w:rPr>
        <w:t>B</w:t>
      </w:r>
      <w:r w:rsidR="00BE4086" w:rsidRPr="0001132D">
        <w:rPr>
          <w:b/>
          <w:lang w:val="fr-BE"/>
        </w:rPr>
        <w:t>.</w:t>
      </w:r>
      <w:r w:rsidR="00297867" w:rsidRPr="0001132D">
        <w:rPr>
          <w:b/>
          <w:lang w:val="fr-BE"/>
        </w:rPr>
        <w:tab/>
      </w:r>
      <w:r w:rsidR="00BE4086" w:rsidRPr="0001132D">
        <w:rPr>
          <w:b/>
          <w:lang w:val="fr-BE"/>
        </w:rPr>
        <w:t>Méthode d’enseignement</w:t>
      </w:r>
    </w:p>
    <w:p w:rsidR="00297867" w:rsidRPr="0001132D" w:rsidRDefault="00297867" w:rsidP="00BE4086">
      <w:pPr>
        <w:rPr>
          <w:lang w:val="fr-BE"/>
        </w:rPr>
      </w:pPr>
    </w:p>
    <w:p w:rsidR="00BE4086" w:rsidRPr="0001132D" w:rsidRDefault="00BC69F3" w:rsidP="00297867">
      <w:pPr>
        <w:pStyle w:val="ListParagraph"/>
        <w:numPr>
          <w:ilvl w:val="0"/>
          <w:numId w:val="9"/>
        </w:numPr>
        <w:rPr>
          <w:lang w:val="fr-BE"/>
        </w:rPr>
      </w:pPr>
      <w:r>
        <w:rPr>
          <w:lang w:val="fr-BE"/>
        </w:rPr>
        <w:t>C</w:t>
      </w:r>
      <w:r w:rsidR="00BE4086" w:rsidRPr="0001132D">
        <w:rPr>
          <w:lang w:val="fr-BE"/>
        </w:rPr>
        <w:t>ours ma</w:t>
      </w:r>
      <w:r>
        <w:rPr>
          <w:lang w:val="fr-BE"/>
        </w:rPr>
        <w:t>gistral et lecture indépendante</w:t>
      </w:r>
    </w:p>
    <w:p w:rsidR="00BE4086" w:rsidRPr="0001132D" w:rsidRDefault="00BE4086" w:rsidP="00297867">
      <w:pPr>
        <w:ind w:left="1413"/>
        <w:rPr>
          <w:lang w:val="fr-BE"/>
        </w:rPr>
      </w:pPr>
      <w:r w:rsidRPr="0001132D">
        <w:rPr>
          <w:lang w:val="fr-BE"/>
        </w:rPr>
        <w:t>A l’exception des institutions et les procédures de décision qui font</w:t>
      </w:r>
      <w:r w:rsidR="008F1429" w:rsidRPr="0001132D">
        <w:rPr>
          <w:lang w:val="fr-BE"/>
        </w:rPr>
        <w:t xml:space="preserve"> l’</w:t>
      </w:r>
      <w:r w:rsidRPr="0001132D">
        <w:rPr>
          <w:lang w:val="fr-BE"/>
        </w:rPr>
        <w:t xml:space="preserve">objet de tutorats donnés par l’assistant, </w:t>
      </w:r>
      <w:r w:rsidR="00BC69F3">
        <w:rPr>
          <w:lang w:val="fr-BE"/>
        </w:rPr>
        <w:t xml:space="preserve">l’introduction et la première partie du cours </w:t>
      </w:r>
      <w:r w:rsidRPr="0001132D">
        <w:rPr>
          <w:lang w:val="fr-BE"/>
        </w:rPr>
        <w:t>ser</w:t>
      </w:r>
      <w:r w:rsidR="00BC69F3">
        <w:rPr>
          <w:lang w:val="fr-BE"/>
        </w:rPr>
        <w:t>ont</w:t>
      </w:r>
      <w:r w:rsidRPr="0001132D">
        <w:rPr>
          <w:lang w:val="fr-BE"/>
        </w:rPr>
        <w:t xml:space="preserve"> enseignée de manière « ex cathedra ».</w:t>
      </w:r>
    </w:p>
    <w:p w:rsidR="00BE4086" w:rsidRPr="0001132D" w:rsidRDefault="00BE4086" w:rsidP="00297867">
      <w:pPr>
        <w:ind w:left="1413"/>
        <w:rPr>
          <w:lang w:val="fr-BE"/>
        </w:rPr>
      </w:pPr>
      <w:r w:rsidRPr="0001132D">
        <w:rPr>
          <w:lang w:val="fr-BE"/>
        </w:rPr>
        <w:t xml:space="preserve">L’objectif de cette partie étant, en principe, de récapituler des connaissances déjà acquises par les étudiants pendant leurs études universitaires antérieures, il s’agira d’un cours « concentré » </w:t>
      </w:r>
      <w:r w:rsidR="00610250">
        <w:rPr>
          <w:lang w:val="fr-BE"/>
        </w:rPr>
        <w:t xml:space="preserve">dispensé au début de </w:t>
      </w:r>
      <w:r w:rsidR="00B82F3E">
        <w:rPr>
          <w:lang w:val="fr-BE"/>
        </w:rPr>
        <w:t>l’année académique (</w:t>
      </w:r>
      <w:r w:rsidR="005329D8">
        <w:rPr>
          <w:lang w:val="fr-BE"/>
        </w:rPr>
        <w:t>14</w:t>
      </w:r>
      <w:r w:rsidR="00610250">
        <w:rPr>
          <w:lang w:val="fr-BE"/>
        </w:rPr>
        <w:t>-1</w:t>
      </w:r>
      <w:r w:rsidR="005329D8">
        <w:rPr>
          <w:lang w:val="fr-BE"/>
        </w:rPr>
        <w:t>6</w:t>
      </w:r>
      <w:r w:rsidR="00610250">
        <w:rPr>
          <w:lang w:val="fr-BE"/>
        </w:rPr>
        <w:t xml:space="preserve"> septembre et </w:t>
      </w:r>
      <w:r w:rsidR="005329D8">
        <w:rPr>
          <w:lang w:val="fr-BE"/>
        </w:rPr>
        <w:t>30</w:t>
      </w:r>
      <w:r w:rsidR="00610250">
        <w:rPr>
          <w:lang w:val="fr-BE"/>
        </w:rPr>
        <w:t> septembre</w:t>
      </w:r>
      <w:r w:rsidR="00D026E0">
        <w:rPr>
          <w:lang w:val="fr-BE"/>
        </w:rPr>
        <w:t>, 15 heures</w:t>
      </w:r>
      <w:r w:rsidR="00B82F3E">
        <w:rPr>
          <w:lang w:val="fr-BE"/>
        </w:rPr>
        <w:t>)</w:t>
      </w:r>
      <w:r w:rsidRPr="0001132D">
        <w:rPr>
          <w:lang w:val="fr-BE"/>
        </w:rPr>
        <w:t>. Certains aspects figurant dans le plan détaillé ne seront donc pas - ou que très brièvement - mentionnés durant le cours.</w:t>
      </w:r>
    </w:p>
    <w:p w:rsidR="00BE4086" w:rsidRPr="0001132D" w:rsidRDefault="00BE4086" w:rsidP="00297867">
      <w:pPr>
        <w:ind w:left="1413"/>
        <w:rPr>
          <w:lang w:val="fr-BE"/>
        </w:rPr>
      </w:pPr>
      <w:r w:rsidRPr="0001132D">
        <w:rPr>
          <w:lang w:val="fr-BE"/>
        </w:rPr>
        <w:t xml:space="preserve">Il </w:t>
      </w:r>
      <w:r w:rsidR="008F1429" w:rsidRPr="0001132D">
        <w:rPr>
          <w:lang w:val="fr-BE"/>
        </w:rPr>
        <w:t>s’</w:t>
      </w:r>
      <w:r w:rsidRPr="0001132D">
        <w:rPr>
          <w:lang w:val="fr-BE"/>
        </w:rPr>
        <w:t>ensuit que les étudiants sont tenus de préparer et/ou suivre l’enseignement et le plan du cours moyennant la lecture indépendante d’un ou plusieurs livres indiqués dans la bibliographie conseillée (infra point 4.).</w:t>
      </w:r>
    </w:p>
    <w:p w:rsidR="00297867" w:rsidRPr="0001132D" w:rsidRDefault="00297867" w:rsidP="00297867">
      <w:pPr>
        <w:ind w:left="1413"/>
        <w:rPr>
          <w:lang w:val="fr-BE"/>
        </w:rPr>
      </w:pPr>
    </w:p>
    <w:p w:rsidR="00BE4086" w:rsidRPr="0001132D" w:rsidRDefault="00BC69F3" w:rsidP="00B55ADF">
      <w:pPr>
        <w:pStyle w:val="ListParagraph"/>
        <w:numPr>
          <w:ilvl w:val="0"/>
          <w:numId w:val="9"/>
        </w:numPr>
        <w:rPr>
          <w:lang w:val="fr-BE"/>
        </w:rPr>
      </w:pPr>
      <w:r>
        <w:rPr>
          <w:lang w:val="fr-BE"/>
        </w:rPr>
        <w:t>L</w:t>
      </w:r>
      <w:r w:rsidR="00BE4086" w:rsidRPr="0001132D">
        <w:rPr>
          <w:lang w:val="fr-BE"/>
        </w:rPr>
        <w:t>ecture guidée et cours interactif</w:t>
      </w:r>
      <w:r>
        <w:rPr>
          <w:lang w:val="fr-BE"/>
        </w:rPr>
        <w:t xml:space="preserve"> (séminaire</w:t>
      </w:r>
      <w:r w:rsidR="00BE4086" w:rsidRPr="0001132D">
        <w:rPr>
          <w:lang w:val="fr-BE"/>
        </w:rPr>
        <w:t>)</w:t>
      </w:r>
    </w:p>
    <w:p w:rsidR="00B82F3E" w:rsidRDefault="00BC69F3" w:rsidP="00B55ADF">
      <w:pPr>
        <w:ind w:left="1413"/>
        <w:rPr>
          <w:lang w:val="fr-BE"/>
        </w:rPr>
      </w:pPr>
      <w:r>
        <w:rPr>
          <w:lang w:val="fr-BE"/>
        </w:rPr>
        <w:t>L’enseignement de la d</w:t>
      </w:r>
      <w:r w:rsidRPr="0001132D">
        <w:rPr>
          <w:lang w:val="fr-BE"/>
        </w:rPr>
        <w:t xml:space="preserve">euxième et </w:t>
      </w:r>
      <w:r>
        <w:rPr>
          <w:lang w:val="fr-BE"/>
        </w:rPr>
        <w:t xml:space="preserve">de la </w:t>
      </w:r>
      <w:r w:rsidRPr="0001132D">
        <w:rPr>
          <w:lang w:val="fr-BE"/>
        </w:rPr>
        <w:t xml:space="preserve">troisième partie </w:t>
      </w:r>
      <w:r>
        <w:rPr>
          <w:lang w:val="fr-BE"/>
        </w:rPr>
        <w:t xml:space="preserve">du cours prend la forme d’un séminaire qui se </w:t>
      </w:r>
      <w:r w:rsidR="00B82F3E">
        <w:rPr>
          <w:lang w:val="fr-BE"/>
        </w:rPr>
        <w:t xml:space="preserve">déroulera </w:t>
      </w:r>
      <w:r>
        <w:rPr>
          <w:lang w:val="fr-BE"/>
        </w:rPr>
        <w:t xml:space="preserve">« en bloc » entre le </w:t>
      </w:r>
      <w:r w:rsidR="00D55CFB">
        <w:rPr>
          <w:lang w:val="fr-BE"/>
        </w:rPr>
        <w:t>3</w:t>
      </w:r>
      <w:r w:rsidR="00610250">
        <w:rPr>
          <w:lang w:val="fr-BE"/>
        </w:rPr>
        <w:t xml:space="preserve"> et </w:t>
      </w:r>
      <w:r w:rsidR="00D55CFB">
        <w:rPr>
          <w:lang w:val="fr-BE"/>
        </w:rPr>
        <w:t>5</w:t>
      </w:r>
      <w:r w:rsidR="00610250">
        <w:rPr>
          <w:lang w:val="fr-BE"/>
        </w:rPr>
        <w:t> </w:t>
      </w:r>
      <w:r w:rsidR="00D55CFB">
        <w:rPr>
          <w:lang w:val="fr-BE"/>
        </w:rPr>
        <w:t>novemb</w:t>
      </w:r>
      <w:r w:rsidR="00B82F3E">
        <w:rPr>
          <w:lang w:val="fr-BE"/>
        </w:rPr>
        <w:t xml:space="preserve">re </w:t>
      </w:r>
      <w:r>
        <w:rPr>
          <w:lang w:val="fr-BE"/>
        </w:rPr>
        <w:t>(1</w:t>
      </w:r>
      <w:r w:rsidR="00610250">
        <w:rPr>
          <w:lang w:val="fr-BE"/>
        </w:rPr>
        <w:t>5</w:t>
      </w:r>
      <w:r>
        <w:rPr>
          <w:lang w:val="fr-BE"/>
        </w:rPr>
        <w:t xml:space="preserve"> heures).</w:t>
      </w:r>
    </w:p>
    <w:p w:rsidR="00BE4086" w:rsidRPr="0001132D" w:rsidRDefault="00BE4086" w:rsidP="00B55ADF">
      <w:pPr>
        <w:ind w:left="1413"/>
        <w:rPr>
          <w:lang w:val="fr-BE"/>
        </w:rPr>
      </w:pPr>
      <w:r w:rsidRPr="0001132D">
        <w:rPr>
          <w:lang w:val="fr-BE"/>
        </w:rPr>
        <w:t>Pour chacun des sujets de la deuxième</w:t>
      </w:r>
      <w:r w:rsidR="00B55ADF" w:rsidRPr="0001132D">
        <w:rPr>
          <w:lang w:val="fr-BE"/>
        </w:rPr>
        <w:t xml:space="preserve"> et</w:t>
      </w:r>
      <w:r w:rsidRPr="0001132D">
        <w:rPr>
          <w:lang w:val="fr-BE"/>
        </w:rPr>
        <w:t xml:space="preserve"> troisième partie, les étudiants devront se préparer moyennant la lecture d</w:t>
      </w:r>
      <w:r w:rsidR="00B55ADF" w:rsidRPr="0001132D">
        <w:rPr>
          <w:lang w:val="fr-BE"/>
        </w:rPr>
        <w:t>’ouvrage</w:t>
      </w:r>
      <w:r w:rsidR="008F1429" w:rsidRPr="0001132D">
        <w:rPr>
          <w:lang w:val="fr-BE"/>
        </w:rPr>
        <w:t>s</w:t>
      </w:r>
      <w:r w:rsidR="00B55ADF" w:rsidRPr="0001132D">
        <w:rPr>
          <w:lang w:val="fr-BE"/>
        </w:rPr>
        <w:t xml:space="preserve"> de référence (« bibliographie ») et de </w:t>
      </w:r>
      <w:r w:rsidRPr="0001132D">
        <w:rPr>
          <w:lang w:val="fr-BE"/>
        </w:rPr>
        <w:t>documents mis à leur disposition (« syllabus »).</w:t>
      </w:r>
    </w:p>
    <w:p w:rsidR="00BE4086" w:rsidRPr="0001132D" w:rsidRDefault="00BE4086" w:rsidP="00B55ADF">
      <w:pPr>
        <w:ind w:left="1413"/>
        <w:rPr>
          <w:lang w:val="fr-BE"/>
        </w:rPr>
      </w:pPr>
      <w:r w:rsidRPr="0001132D">
        <w:rPr>
          <w:lang w:val="fr-BE"/>
        </w:rPr>
        <w:t>Au-delà de cette lecture, chaque étudiant devra préparer, à titre individuel ou – en fonction du nombre de participants – dans un groupe de deux ou trois étudiants, une présentation orale d’un sujet spécifique qui servira comme base de départ pour une discussion modérée par le professeur. La présentation de l’ensemble du groupe ne pourra dépasser 15 minutes et devra donc être très concise.</w:t>
      </w:r>
    </w:p>
    <w:p w:rsidR="00BE4086" w:rsidRPr="0001132D" w:rsidRDefault="00BE4086" w:rsidP="00B55ADF">
      <w:pPr>
        <w:ind w:left="1413"/>
        <w:rPr>
          <w:lang w:val="fr-BE"/>
        </w:rPr>
      </w:pPr>
      <w:r w:rsidRPr="0001132D">
        <w:rPr>
          <w:lang w:val="fr-BE"/>
        </w:rPr>
        <w:t>L’assistant organisera la répartition des sujets et des groupes avant la fin septembre.</w:t>
      </w:r>
    </w:p>
    <w:p w:rsidR="00813660" w:rsidRPr="0001132D" w:rsidRDefault="00813660">
      <w:pPr>
        <w:rPr>
          <w:lang w:val="fr-BE"/>
        </w:rPr>
      </w:pPr>
      <w:r w:rsidRPr="0001132D">
        <w:rPr>
          <w:lang w:val="fr-BE"/>
        </w:rPr>
        <w:br w:type="page"/>
      </w:r>
    </w:p>
    <w:p w:rsidR="00BE4086" w:rsidRPr="0026429A" w:rsidRDefault="00BE4086" w:rsidP="00BE4086">
      <w:pPr>
        <w:rPr>
          <w:lang w:val="fr-FR"/>
        </w:rPr>
      </w:pPr>
    </w:p>
    <w:p w:rsidR="00BE4086" w:rsidRPr="0001132D" w:rsidRDefault="00B55ADF" w:rsidP="00BE4086">
      <w:pPr>
        <w:rPr>
          <w:b/>
          <w:lang w:val="fr-BE"/>
        </w:rPr>
      </w:pPr>
      <w:r w:rsidRPr="0001132D">
        <w:rPr>
          <w:b/>
          <w:lang w:val="fr-BE"/>
        </w:rPr>
        <w:t>C.</w:t>
      </w:r>
      <w:r w:rsidRPr="0001132D">
        <w:rPr>
          <w:b/>
          <w:lang w:val="fr-BE"/>
        </w:rPr>
        <w:tab/>
      </w:r>
      <w:r w:rsidR="00BE4086" w:rsidRPr="0001132D">
        <w:rPr>
          <w:b/>
          <w:lang w:val="fr-BE"/>
        </w:rPr>
        <w:t>Examen</w:t>
      </w:r>
    </w:p>
    <w:p w:rsidR="00B55ADF" w:rsidRPr="0001132D" w:rsidRDefault="00B55ADF" w:rsidP="00BE4086">
      <w:pPr>
        <w:rPr>
          <w:lang w:val="fr-BE"/>
        </w:rPr>
      </w:pPr>
    </w:p>
    <w:p w:rsidR="00BE4086" w:rsidRPr="0001132D" w:rsidRDefault="00BE4086" w:rsidP="00BE4086">
      <w:pPr>
        <w:rPr>
          <w:lang w:val="fr-BE"/>
        </w:rPr>
      </w:pPr>
      <w:r w:rsidRPr="0001132D">
        <w:rPr>
          <w:lang w:val="fr-BE"/>
        </w:rPr>
        <w:t xml:space="preserve">Evaluation moyennant un examen écrit (4 heures) à « livre </w:t>
      </w:r>
      <w:r w:rsidR="003F137E">
        <w:rPr>
          <w:lang w:val="fr-BE"/>
        </w:rPr>
        <w:t>ouvert</w:t>
      </w:r>
      <w:r w:rsidRPr="0001132D">
        <w:rPr>
          <w:lang w:val="fr-BE"/>
        </w:rPr>
        <w:t> ».</w:t>
      </w:r>
    </w:p>
    <w:p w:rsidR="00BE4086" w:rsidRPr="0001132D" w:rsidRDefault="00BE4086" w:rsidP="00BE4086">
      <w:pPr>
        <w:rPr>
          <w:lang w:val="fr-BE"/>
        </w:rPr>
      </w:pPr>
      <w:r w:rsidRPr="0001132D">
        <w:rPr>
          <w:lang w:val="fr-BE"/>
        </w:rPr>
        <w:t xml:space="preserve">L’examen </w:t>
      </w:r>
      <w:r w:rsidR="008F603B" w:rsidRPr="0001132D">
        <w:rPr>
          <w:lang w:val="fr-BE"/>
        </w:rPr>
        <w:t xml:space="preserve">est composé de plusieurs questions dites théoriques et </w:t>
      </w:r>
      <w:r w:rsidRPr="0001132D">
        <w:rPr>
          <w:lang w:val="fr-BE"/>
        </w:rPr>
        <w:t>porte sur l’ensemble des matières traitées dans le cadre de ce cours.</w:t>
      </w:r>
    </w:p>
    <w:p w:rsidR="00B55ADF" w:rsidRPr="0001132D" w:rsidRDefault="00BE4086" w:rsidP="00BE4086">
      <w:pPr>
        <w:rPr>
          <w:lang w:val="fr-BE"/>
        </w:rPr>
      </w:pPr>
      <w:r w:rsidRPr="0001132D">
        <w:rPr>
          <w:lang w:val="fr-BE"/>
        </w:rPr>
        <w:t>Une présentation orale de qualité et la participation active, constructive et régulière au cours seront prises en considération lors de l’évaluation finale.</w:t>
      </w:r>
    </w:p>
    <w:p w:rsidR="00BE4086" w:rsidRPr="0001132D" w:rsidRDefault="00BE4086" w:rsidP="00BE4086">
      <w:pPr>
        <w:rPr>
          <w:lang w:val="fr-BE"/>
        </w:rPr>
      </w:pPr>
    </w:p>
    <w:p w:rsidR="00580101" w:rsidRPr="0001132D" w:rsidRDefault="00580101" w:rsidP="00BE4086">
      <w:pPr>
        <w:rPr>
          <w:lang w:val="fr-BE"/>
        </w:rPr>
      </w:pPr>
    </w:p>
    <w:p w:rsidR="00BE4086" w:rsidRPr="0001132D" w:rsidRDefault="00B55ADF" w:rsidP="00BE4086">
      <w:pPr>
        <w:rPr>
          <w:b/>
          <w:lang w:val="fr-BE"/>
        </w:rPr>
      </w:pPr>
      <w:r w:rsidRPr="0001132D">
        <w:rPr>
          <w:b/>
          <w:lang w:val="fr-BE"/>
        </w:rPr>
        <w:t>D</w:t>
      </w:r>
      <w:r w:rsidR="00BE4086" w:rsidRPr="0001132D">
        <w:rPr>
          <w:b/>
          <w:lang w:val="fr-BE"/>
        </w:rPr>
        <w:t>.</w:t>
      </w:r>
      <w:r w:rsidRPr="0001132D">
        <w:rPr>
          <w:b/>
          <w:lang w:val="fr-BE"/>
        </w:rPr>
        <w:tab/>
      </w:r>
      <w:r w:rsidR="00BE4086" w:rsidRPr="0001132D">
        <w:rPr>
          <w:b/>
          <w:lang w:val="fr-BE"/>
        </w:rPr>
        <w:t>Bibliographie conseillée</w:t>
      </w:r>
    </w:p>
    <w:p w:rsidR="00813660" w:rsidRPr="0001132D" w:rsidRDefault="00813660" w:rsidP="00B55ADF">
      <w:pPr>
        <w:ind w:firstLine="708"/>
        <w:rPr>
          <w:lang w:val="fr-BE"/>
        </w:rPr>
      </w:pPr>
      <w:r w:rsidRPr="0001132D">
        <w:rPr>
          <w:u w:val="single"/>
          <w:lang w:val="fr-BE"/>
        </w:rPr>
        <w:t>Avertissement</w:t>
      </w:r>
      <w:r w:rsidRPr="0001132D">
        <w:rPr>
          <w:lang w:val="fr-BE"/>
        </w:rPr>
        <w:t> :</w:t>
      </w:r>
    </w:p>
    <w:p w:rsidR="00BE4086" w:rsidRPr="0001132D" w:rsidRDefault="00813660" w:rsidP="00813660">
      <w:pPr>
        <w:pStyle w:val="ListParagraph"/>
        <w:numPr>
          <w:ilvl w:val="0"/>
          <w:numId w:val="10"/>
        </w:numPr>
        <w:rPr>
          <w:lang w:val="fr-BE"/>
        </w:rPr>
      </w:pPr>
      <w:r w:rsidRPr="0001132D">
        <w:rPr>
          <w:lang w:val="fr-BE"/>
        </w:rPr>
        <w:t xml:space="preserve">est </w:t>
      </w:r>
      <w:r w:rsidR="00BE4086" w:rsidRPr="0001132D">
        <w:rPr>
          <w:lang w:val="fr-BE"/>
        </w:rPr>
        <w:t>seulement repris</w:t>
      </w:r>
      <w:r w:rsidR="008F1429" w:rsidRPr="0001132D">
        <w:rPr>
          <w:lang w:val="fr-BE"/>
        </w:rPr>
        <w:t>e</w:t>
      </w:r>
      <w:r w:rsidR="0041141F">
        <w:rPr>
          <w:lang w:val="fr-BE"/>
        </w:rPr>
        <w:t xml:space="preserve"> </w:t>
      </w:r>
      <w:r w:rsidRPr="0001132D">
        <w:rPr>
          <w:lang w:val="fr-BE"/>
        </w:rPr>
        <w:t xml:space="preserve">une </w:t>
      </w:r>
      <w:r w:rsidRPr="0001132D">
        <w:rPr>
          <w:u w:val="single"/>
          <w:lang w:val="fr-BE"/>
        </w:rPr>
        <w:t>sélection</w:t>
      </w:r>
      <w:r w:rsidRPr="0001132D">
        <w:rPr>
          <w:lang w:val="fr-BE"/>
        </w:rPr>
        <w:t xml:space="preserve"> limitée d’</w:t>
      </w:r>
      <w:r w:rsidR="00BE4086" w:rsidRPr="0001132D">
        <w:rPr>
          <w:lang w:val="fr-BE"/>
        </w:rPr>
        <w:t xml:space="preserve">ouvrages </w:t>
      </w:r>
      <w:r w:rsidRPr="0001132D">
        <w:rPr>
          <w:lang w:val="fr-BE"/>
        </w:rPr>
        <w:t xml:space="preserve">publiés </w:t>
      </w:r>
      <w:r w:rsidR="00BE4086" w:rsidRPr="0001132D">
        <w:rPr>
          <w:lang w:val="fr-BE"/>
        </w:rPr>
        <w:t>en français et en anglais</w:t>
      </w:r>
      <w:r w:rsidRPr="0001132D">
        <w:rPr>
          <w:lang w:val="fr-BE"/>
        </w:rPr>
        <w:t> ;</w:t>
      </w:r>
    </w:p>
    <w:p w:rsidR="00813660" w:rsidRPr="0001132D" w:rsidRDefault="00FD1744" w:rsidP="00813660">
      <w:pPr>
        <w:pStyle w:val="ListParagraph"/>
        <w:numPr>
          <w:ilvl w:val="0"/>
          <w:numId w:val="10"/>
        </w:numPr>
        <w:rPr>
          <w:lang w:val="fr-BE"/>
        </w:rPr>
      </w:pPr>
      <w:r>
        <w:rPr>
          <w:lang w:val="fr-BE"/>
        </w:rPr>
        <w:t>pas t</w:t>
      </w:r>
      <w:r w:rsidR="00580101" w:rsidRPr="0001132D">
        <w:rPr>
          <w:lang w:val="fr-BE"/>
        </w:rPr>
        <w:t xml:space="preserve">ous les </w:t>
      </w:r>
      <w:r w:rsidR="00813660" w:rsidRPr="0001132D">
        <w:rPr>
          <w:lang w:val="fr-BE"/>
        </w:rPr>
        <w:t xml:space="preserve">ouvrages </w:t>
      </w:r>
      <w:r w:rsidR="00580101" w:rsidRPr="0001132D">
        <w:rPr>
          <w:lang w:val="fr-BE"/>
        </w:rPr>
        <w:t>mentionnés ci-</w:t>
      </w:r>
      <w:r w:rsidRPr="0001132D">
        <w:rPr>
          <w:lang w:val="fr-BE"/>
        </w:rPr>
        <w:t>après n’ont</w:t>
      </w:r>
      <w:r w:rsidR="00580101" w:rsidRPr="0001132D">
        <w:rPr>
          <w:lang w:val="fr-BE"/>
        </w:rPr>
        <w:t xml:space="preserve"> </w:t>
      </w:r>
      <w:r w:rsidR="00813660" w:rsidRPr="0001132D">
        <w:rPr>
          <w:lang w:val="fr-BE"/>
        </w:rPr>
        <w:t>été mis à jour après l’entrée en vigueur du traité de Lisbonne</w:t>
      </w:r>
      <w:r>
        <w:rPr>
          <w:lang w:val="fr-BE"/>
        </w:rPr>
        <w:t>.</w:t>
      </w:r>
    </w:p>
    <w:p w:rsidR="00580101" w:rsidRPr="0001132D" w:rsidRDefault="00580101" w:rsidP="00580101">
      <w:pPr>
        <w:pStyle w:val="ListParagraph"/>
        <w:ind w:left="1068"/>
        <w:rPr>
          <w:lang w:val="fr-BE"/>
        </w:rPr>
      </w:pPr>
    </w:p>
    <w:p w:rsidR="003004A7" w:rsidRPr="0026429A" w:rsidRDefault="0026429A" w:rsidP="0026429A">
      <w:pPr>
        <w:ind w:left="709"/>
        <w:rPr>
          <w:lang w:val="en-IE"/>
        </w:rPr>
      </w:pPr>
      <w:r>
        <w:rPr>
          <w:lang w:val="en-IE"/>
        </w:rPr>
        <w:t xml:space="preserve">A. </w:t>
      </w:r>
      <w:r w:rsidR="003004A7" w:rsidRPr="0026429A">
        <w:rPr>
          <w:lang w:val="en-IE"/>
        </w:rPr>
        <w:t xml:space="preserve">von </w:t>
      </w:r>
      <w:proofErr w:type="spellStart"/>
      <w:r w:rsidR="003004A7" w:rsidRPr="0026429A">
        <w:rPr>
          <w:lang w:val="en-IE"/>
        </w:rPr>
        <w:t>Bogdandy</w:t>
      </w:r>
      <w:proofErr w:type="spellEnd"/>
      <w:r w:rsidR="003004A7" w:rsidRPr="0026429A">
        <w:rPr>
          <w:lang w:val="en-IE"/>
        </w:rPr>
        <w:t xml:space="preserve">/J. </w:t>
      </w:r>
      <w:proofErr w:type="spellStart"/>
      <w:r w:rsidR="003004A7" w:rsidRPr="0026429A">
        <w:rPr>
          <w:lang w:val="en-IE"/>
        </w:rPr>
        <w:t>Bast</w:t>
      </w:r>
      <w:proofErr w:type="spellEnd"/>
      <w:r w:rsidR="003004A7" w:rsidRPr="0026429A">
        <w:rPr>
          <w:lang w:val="en-IE"/>
        </w:rPr>
        <w:t xml:space="preserve">, </w:t>
      </w:r>
      <w:r w:rsidR="003004A7" w:rsidRPr="0026429A">
        <w:rPr>
          <w:i/>
          <w:lang w:val="en-IE"/>
        </w:rPr>
        <w:t>Principles of European Constitutional Law</w:t>
      </w:r>
      <w:r w:rsidR="003004A7" w:rsidRPr="0026429A">
        <w:rPr>
          <w:lang w:val="en-IE"/>
        </w:rPr>
        <w:t xml:space="preserve"> (2</w:t>
      </w:r>
      <w:r w:rsidR="003004A7" w:rsidRPr="0026429A">
        <w:rPr>
          <w:vertAlign w:val="superscript"/>
          <w:lang w:val="en-IE"/>
        </w:rPr>
        <w:t>nd</w:t>
      </w:r>
      <w:r w:rsidR="003004A7" w:rsidRPr="0026429A">
        <w:rPr>
          <w:lang w:val="en-IE"/>
        </w:rPr>
        <w:t xml:space="preserve"> </w:t>
      </w:r>
      <w:r w:rsidRPr="0026429A">
        <w:rPr>
          <w:lang w:val="en-IE"/>
        </w:rPr>
        <w:t>rev</w:t>
      </w:r>
      <w:r>
        <w:rPr>
          <w:lang w:val="en-IE"/>
        </w:rPr>
        <w:t>ised</w:t>
      </w:r>
      <w:r w:rsidRPr="0026429A">
        <w:rPr>
          <w:lang w:val="en-IE"/>
        </w:rPr>
        <w:t xml:space="preserve"> ed., reprinted., </w:t>
      </w:r>
      <w:r w:rsidR="003004A7" w:rsidRPr="0026429A">
        <w:rPr>
          <w:lang w:val="en-IE"/>
        </w:rPr>
        <w:t>Hart</w:t>
      </w:r>
      <w:r>
        <w:rPr>
          <w:lang w:val="en-IE"/>
        </w:rPr>
        <w:t xml:space="preserve"> Pub., Oxford</w:t>
      </w:r>
      <w:r w:rsidR="003004A7" w:rsidRPr="0026429A">
        <w:rPr>
          <w:lang w:val="en-IE"/>
        </w:rPr>
        <w:t xml:space="preserve">, Portland, </w:t>
      </w:r>
      <w:r w:rsidRPr="0026429A">
        <w:rPr>
          <w:lang w:val="en-IE"/>
        </w:rPr>
        <w:t>2011</w:t>
      </w:r>
      <w:r w:rsidR="003004A7" w:rsidRPr="0026429A">
        <w:rPr>
          <w:lang w:val="en-IE"/>
        </w:rPr>
        <w:t>)</w:t>
      </w:r>
    </w:p>
    <w:p w:rsidR="00BE4086" w:rsidRPr="00A00A75" w:rsidRDefault="00BE4086" w:rsidP="003004A7">
      <w:pPr>
        <w:ind w:left="709"/>
        <w:rPr>
          <w:lang w:val="en-IE"/>
        </w:rPr>
      </w:pPr>
      <w:r w:rsidRPr="00A00A75">
        <w:rPr>
          <w:lang w:val="en-IE"/>
        </w:rPr>
        <w:t xml:space="preserve">D. Chalmers </w:t>
      </w:r>
      <w:proofErr w:type="spellStart"/>
      <w:r w:rsidRPr="00A00A75">
        <w:rPr>
          <w:lang w:val="en-IE"/>
        </w:rPr>
        <w:t>e.a</w:t>
      </w:r>
      <w:proofErr w:type="spellEnd"/>
      <w:r w:rsidRPr="00A00A75">
        <w:rPr>
          <w:lang w:val="en-IE"/>
        </w:rPr>
        <w:t xml:space="preserve">., </w:t>
      </w:r>
      <w:r w:rsidRPr="00A00A75">
        <w:rPr>
          <w:i/>
          <w:lang w:val="en-IE"/>
        </w:rPr>
        <w:t>European Union Law</w:t>
      </w:r>
      <w:r w:rsidRPr="00A00A75">
        <w:rPr>
          <w:lang w:val="en-IE"/>
        </w:rPr>
        <w:t xml:space="preserve"> (</w:t>
      </w:r>
      <w:r w:rsidR="00572127">
        <w:rPr>
          <w:lang w:val="en-IE"/>
        </w:rPr>
        <w:t>3</w:t>
      </w:r>
      <w:r w:rsidR="00572127">
        <w:rPr>
          <w:vertAlign w:val="superscript"/>
          <w:lang w:val="en-IE"/>
        </w:rPr>
        <w:t>r</w:t>
      </w:r>
      <w:r w:rsidR="003004A7" w:rsidRPr="00A00A75">
        <w:rPr>
          <w:vertAlign w:val="superscript"/>
          <w:lang w:val="en-IE"/>
        </w:rPr>
        <w:t>d</w:t>
      </w:r>
      <w:r w:rsidR="003004A7" w:rsidRPr="00A00A75">
        <w:rPr>
          <w:lang w:val="en-IE"/>
        </w:rPr>
        <w:t xml:space="preserve"> ed., </w:t>
      </w:r>
      <w:r w:rsidRPr="00A00A75">
        <w:rPr>
          <w:lang w:val="en-IE"/>
        </w:rPr>
        <w:t xml:space="preserve">Cambridge University Press, </w:t>
      </w:r>
      <w:proofErr w:type="spellStart"/>
      <w:r w:rsidRPr="00A00A75">
        <w:rPr>
          <w:lang w:val="en-IE"/>
        </w:rPr>
        <w:t>Cambrigde</w:t>
      </w:r>
      <w:proofErr w:type="spellEnd"/>
      <w:r w:rsidRPr="00A00A75">
        <w:rPr>
          <w:lang w:val="en-IE"/>
        </w:rPr>
        <w:t>, 20</w:t>
      </w:r>
      <w:r w:rsidR="00750519" w:rsidRPr="00A00A75">
        <w:rPr>
          <w:lang w:val="en-IE"/>
        </w:rPr>
        <w:t>1</w:t>
      </w:r>
      <w:r w:rsidR="00572127">
        <w:rPr>
          <w:lang w:val="en-IE"/>
        </w:rPr>
        <w:t>4</w:t>
      </w:r>
      <w:r w:rsidR="00750519" w:rsidRPr="00A00A75">
        <w:rPr>
          <w:lang w:val="en-IE"/>
        </w:rPr>
        <w:t>)</w:t>
      </w:r>
    </w:p>
    <w:p w:rsidR="00813660" w:rsidRPr="0001132D" w:rsidRDefault="00813660" w:rsidP="003004A7">
      <w:pPr>
        <w:ind w:left="709"/>
        <w:rPr>
          <w:lang w:val="fr-BE"/>
        </w:rPr>
      </w:pPr>
      <w:r w:rsidRPr="0001132D">
        <w:rPr>
          <w:lang w:val="fr-BE"/>
        </w:rPr>
        <w:t xml:space="preserve">J. P. </w:t>
      </w:r>
      <w:proofErr w:type="spellStart"/>
      <w:r w:rsidRPr="0001132D">
        <w:rPr>
          <w:lang w:val="fr-BE"/>
        </w:rPr>
        <w:t>Jacqué</w:t>
      </w:r>
      <w:proofErr w:type="spellEnd"/>
      <w:r w:rsidRPr="0001132D">
        <w:rPr>
          <w:lang w:val="fr-BE"/>
        </w:rPr>
        <w:t xml:space="preserve">, </w:t>
      </w:r>
      <w:r w:rsidRPr="0001132D">
        <w:rPr>
          <w:i/>
          <w:lang w:val="fr-BE"/>
        </w:rPr>
        <w:t>Droit institutionnel de l’Union européenne</w:t>
      </w:r>
      <w:r w:rsidRPr="0001132D">
        <w:rPr>
          <w:lang w:val="fr-BE"/>
        </w:rPr>
        <w:t xml:space="preserve"> (</w:t>
      </w:r>
      <w:r w:rsidR="001C45C6">
        <w:rPr>
          <w:lang w:val="fr-BE"/>
        </w:rPr>
        <w:t>8</w:t>
      </w:r>
      <w:r w:rsidR="008F1429" w:rsidRPr="0001132D">
        <w:rPr>
          <w:vertAlign w:val="superscript"/>
          <w:lang w:val="fr-BE"/>
        </w:rPr>
        <w:t>ème</w:t>
      </w:r>
      <w:r w:rsidRPr="0001132D">
        <w:rPr>
          <w:lang w:val="fr-BE"/>
        </w:rPr>
        <w:t xml:space="preserve">éd., Dalloz, Paris </w:t>
      </w:r>
      <w:r w:rsidR="008F1429" w:rsidRPr="0001132D">
        <w:rPr>
          <w:lang w:val="fr-BE"/>
        </w:rPr>
        <w:t>201</w:t>
      </w:r>
      <w:r w:rsidR="001C45C6">
        <w:rPr>
          <w:lang w:val="fr-BE"/>
        </w:rPr>
        <w:t>5</w:t>
      </w:r>
      <w:r w:rsidRPr="0001132D">
        <w:rPr>
          <w:lang w:val="fr-BE"/>
        </w:rPr>
        <w:t>)</w:t>
      </w:r>
    </w:p>
    <w:p w:rsidR="003A2246" w:rsidRPr="00A00A75" w:rsidRDefault="003A2246" w:rsidP="003A2246">
      <w:pPr>
        <w:ind w:left="709"/>
        <w:rPr>
          <w:lang w:val="en-IE"/>
        </w:rPr>
      </w:pPr>
      <w:r w:rsidRPr="00A00A75">
        <w:rPr>
          <w:lang w:val="en-IE"/>
        </w:rPr>
        <w:t xml:space="preserve">P. Craig, </w:t>
      </w:r>
      <w:r w:rsidRPr="00A00A75">
        <w:rPr>
          <w:i/>
          <w:lang w:val="en-IE"/>
        </w:rPr>
        <w:t>The Lisbon Treaty, Law, Politics, and Treaty Reform</w:t>
      </w:r>
      <w:r w:rsidR="00FE0F82" w:rsidRPr="00A00A75">
        <w:rPr>
          <w:i/>
          <w:lang w:val="en-IE"/>
        </w:rPr>
        <w:t xml:space="preserve"> </w:t>
      </w:r>
      <w:r w:rsidRPr="00A00A75">
        <w:rPr>
          <w:lang w:val="en-IE"/>
        </w:rPr>
        <w:t>(</w:t>
      </w:r>
      <w:r w:rsidR="00CE457B">
        <w:rPr>
          <w:lang w:val="en-IE"/>
        </w:rPr>
        <w:t>Oxford,</w:t>
      </w:r>
      <w:r w:rsidR="00CE457B" w:rsidRPr="00CE457B">
        <w:rPr>
          <w:lang w:val="en-IE"/>
        </w:rPr>
        <w:t xml:space="preserve"> </w:t>
      </w:r>
      <w:r w:rsidR="00CE457B">
        <w:rPr>
          <w:lang w:val="en-IE"/>
        </w:rPr>
        <w:t>OUP, 2013 - n</w:t>
      </w:r>
      <w:r w:rsidR="00CE457B" w:rsidRPr="00CE457B">
        <w:rPr>
          <w:lang w:val="en-IE"/>
        </w:rPr>
        <w:t xml:space="preserve">ot a 2nd edition, chapters 1-11 remained unchanged ; chapter 12 on the </w:t>
      </w:r>
      <w:r w:rsidR="00CE457B">
        <w:rPr>
          <w:lang w:val="en-IE"/>
        </w:rPr>
        <w:t>financial crisis is new.</w:t>
      </w:r>
      <w:r w:rsidRPr="00CE457B">
        <w:rPr>
          <w:lang w:val="en-IE"/>
        </w:rPr>
        <w:t>)</w:t>
      </w:r>
    </w:p>
    <w:p w:rsidR="00813660" w:rsidRPr="00A00A75" w:rsidRDefault="00813660" w:rsidP="003004A7">
      <w:pPr>
        <w:ind w:left="709"/>
        <w:rPr>
          <w:lang w:val="en-IE"/>
        </w:rPr>
      </w:pPr>
      <w:r w:rsidRPr="00A00A75">
        <w:rPr>
          <w:lang w:val="en-IE"/>
        </w:rPr>
        <w:t xml:space="preserve">P. Craig/G. De </w:t>
      </w:r>
      <w:proofErr w:type="spellStart"/>
      <w:r w:rsidRPr="00A00A75">
        <w:rPr>
          <w:lang w:val="en-IE"/>
        </w:rPr>
        <w:t>Búrca</w:t>
      </w:r>
      <w:proofErr w:type="spellEnd"/>
      <w:r w:rsidRPr="00A00A75">
        <w:rPr>
          <w:lang w:val="en-IE"/>
        </w:rPr>
        <w:t xml:space="preserve">, </w:t>
      </w:r>
      <w:r w:rsidRPr="00A00A75">
        <w:rPr>
          <w:i/>
          <w:lang w:val="en-IE"/>
        </w:rPr>
        <w:t>EU law : text, cases, and materials</w:t>
      </w:r>
      <w:r w:rsidRPr="00A00A75">
        <w:rPr>
          <w:lang w:val="en-IE"/>
        </w:rPr>
        <w:t xml:space="preserve"> (</w:t>
      </w:r>
      <w:r w:rsidR="00473B70">
        <w:rPr>
          <w:lang w:val="en-IE"/>
        </w:rPr>
        <w:t>6</w:t>
      </w:r>
      <w:r w:rsidR="003004A7" w:rsidRPr="00A00A75">
        <w:rPr>
          <w:vertAlign w:val="superscript"/>
          <w:lang w:val="en-IE"/>
        </w:rPr>
        <w:t>th</w:t>
      </w:r>
      <w:r w:rsidRPr="00A00A75">
        <w:rPr>
          <w:lang w:val="en-IE"/>
        </w:rPr>
        <w:t>ed., OUP, Oxford 20</w:t>
      </w:r>
      <w:r w:rsidR="00473B70">
        <w:rPr>
          <w:lang w:val="en-IE"/>
        </w:rPr>
        <w:t>15</w:t>
      </w:r>
      <w:r w:rsidRPr="00A00A75">
        <w:rPr>
          <w:lang w:val="en-IE"/>
        </w:rPr>
        <w:t>)</w:t>
      </w:r>
    </w:p>
    <w:p w:rsidR="00813660" w:rsidRPr="0001132D" w:rsidRDefault="00813660" w:rsidP="003004A7">
      <w:pPr>
        <w:ind w:left="709"/>
        <w:rPr>
          <w:lang w:val="fr-BE"/>
        </w:rPr>
      </w:pPr>
      <w:r w:rsidRPr="0001132D">
        <w:rPr>
          <w:lang w:val="fr-BE"/>
        </w:rPr>
        <w:t xml:space="preserve">G. Isaac/M. Blanquet, </w:t>
      </w:r>
      <w:r w:rsidRPr="0001132D">
        <w:rPr>
          <w:i/>
          <w:lang w:val="fr-BE"/>
        </w:rPr>
        <w:t xml:space="preserve">Droit </w:t>
      </w:r>
      <w:r w:rsidR="00010C33" w:rsidRPr="0001132D">
        <w:rPr>
          <w:i/>
          <w:lang w:val="fr-BE"/>
        </w:rPr>
        <w:t>général de l’Union européenne</w:t>
      </w:r>
      <w:r w:rsidRPr="0001132D">
        <w:rPr>
          <w:lang w:val="fr-BE"/>
        </w:rPr>
        <w:t xml:space="preserve"> (</w:t>
      </w:r>
      <w:r w:rsidR="00010C33" w:rsidRPr="0001132D">
        <w:rPr>
          <w:lang w:val="fr-BE"/>
        </w:rPr>
        <w:t>10</w:t>
      </w:r>
      <w:r w:rsidRPr="0001132D">
        <w:rPr>
          <w:vertAlign w:val="superscript"/>
          <w:lang w:val="fr-BE"/>
        </w:rPr>
        <w:t>ème</w:t>
      </w:r>
      <w:r w:rsidRPr="0001132D">
        <w:rPr>
          <w:lang w:val="fr-BE"/>
        </w:rPr>
        <w:t xml:space="preserve"> éd., Colin, Dalloz, Paris </w:t>
      </w:r>
      <w:r w:rsidR="00010C33" w:rsidRPr="0001132D">
        <w:rPr>
          <w:lang w:val="fr-BE"/>
        </w:rPr>
        <w:t>2012</w:t>
      </w:r>
      <w:r w:rsidRPr="0001132D">
        <w:rPr>
          <w:lang w:val="fr-BE"/>
        </w:rPr>
        <w:t>)</w:t>
      </w:r>
    </w:p>
    <w:p w:rsidR="003004A7" w:rsidRPr="00A00A75" w:rsidRDefault="00813660" w:rsidP="003004A7">
      <w:pPr>
        <w:ind w:left="709"/>
        <w:rPr>
          <w:rFonts w:cs="Arial"/>
          <w:lang w:val="en-IE"/>
        </w:rPr>
      </w:pPr>
      <w:r w:rsidRPr="00A00A75">
        <w:rPr>
          <w:rFonts w:cs="Arial"/>
          <w:lang w:val="en-IE"/>
        </w:rPr>
        <w:t xml:space="preserve">K. </w:t>
      </w:r>
      <w:proofErr w:type="spellStart"/>
      <w:r w:rsidRPr="00A00A75">
        <w:rPr>
          <w:rFonts w:cs="Arial"/>
          <w:lang w:val="en-IE"/>
        </w:rPr>
        <w:t>Lenaerts</w:t>
      </w:r>
      <w:proofErr w:type="spellEnd"/>
      <w:r w:rsidRPr="00A00A75">
        <w:rPr>
          <w:rFonts w:cs="Arial"/>
          <w:lang w:val="en-IE"/>
        </w:rPr>
        <w:t xml:space="preserve">/P. Van </w:t>
      </w:r>
      <w:proofErr w:type="spellStart"/>
      <w:r w:rsidRPr="00A00A75">
        <w:rPr>
          <w:rFonts w:cs="Arial"/>
          <w:lang w:val="en-IE"/>
        </w:rPr>
        <w:t>Nuffel</w:t>
      </w:r>
      <w:proofErr w:type="spellEnd"/>
      <w:r w:rsidRPr="00A00A75">
        <w:rPr>
          <w:rFonts w:cs="Arial"/>
          <w:lang w:val="en-IE"/>
        </w:rPr>
        <w:t xml:space="preserve">, </w:t>
      </w:r>
      <w:r w:rsidRPr="00A00A75">
        <w:rPr>
          <w:rFonts w:cs="Arial"/>
          <w:i/>
          <w:lang w:val="en-IE"/>
        </w:rPr>
        <w:t>European Union</w:t>
      </w:r>
      <w:r w:rsidR="00A00A75" w:rsidRPr="00A00A75">
        <w:rPr>
          <w:rFonts w:cs="Arial"/>
          <w:i/>
          <w:lang w:val="en-IE"/>
        </w:rPr>
        <w:t xml:space="preserve"> </w:t>
      </w:r>
      <w:r w:rsidR="003A2246" w:rsidRPr="00F708EF">
        <w:rPr>
          <w:rFonts w:cs="Arial"/>
          <w:i/>
          <w:lang w:val="en-IE"/>
        </w:rPr>
        <w:t>Law</w:t>
      </w:r>
      <w:r w:rsidR="003A2246" w:rsidRPr="00A00A75">
        <w:rPr>
          <w:rFonts w:cs="Arial"/>
          <w:lang w:val="en-IE"/>
        </w:rPr>
        <w:t xml:space="preserve"> </w:t>
      </w:r>
      <w:r w:rsidRPr="00A00A75">
        <w:rPr>
          <w:rFonts w:cs="Arial"/>
          <w:lang w:val="en-IE"/>
        </w:rPr>
        <w:t>(</w:t>
      </w:r>
      <w:r w:rsidR="003A2246" w:rsidRPr="00A00A75">
        <w:rPr>
          <w:rFonts w:cs="Arial"/>
          <w:lang w:val="en-IE"/>
        </w:rPr>
        <w:t>3</w:t>
      </w:r>
      <w:r w:rsidR="003A2246" w:rsidRPr="00A00A75">
        <w:rPr>
          <w:rFonts w:cs="Arial"/>
          <w:vertAlign w:val="superscript"/>
          <w:lang w:val="en-IE"/>
        </w:rPr>
        <w:t>rd</w:t>
      </w:r>
      <w:r w:rsidRPr="00A00A75">
        <w:rPr>
          <w:rFonts w:cs="Arial"/>
          <w:lang w:val="en-IE"/>
        </w:rPr>
        <w:t>edition, Thomson/Sweet &amp; Maxwell, London 20</w:t>
      </w:r>
      <w:r w:rsidR="003A2246" w:rsidRPr="00A00A75">
        <w:rPr>
          <w:rFonts w:cs="Arial"/>
          <w:lang w:val="en-IE"/>
        </w:rPr>
        <w:t>11</w:t>
      </w:r>
      <w:r w:rsidRPr="00A00A75">
        <w:rPr>
          <w:rFonts w:cs="Arial"/>
          <w:lang w:val="en-IE"/>
        </w:rPr>
        <w:t>)</w:t>
      </w:r>
    </w:p>
    <w:p w:rsidR="00BE4086" w:rsidRPr="0001132D" w:rsidRDefault="00BE4086" w:rsidP="003004A7">
      <w:pPr>
        <w:ind w:left="709"/>
        <w:rPr>
          <w:lang w:val="fr-BE"/>
        </w:rPr>
      </w:pPr>
      <w:r w:rsidRPr="0001132D">
        <w:rPr>
          <w:lang w:val="fr-BE"/>
        </w:rPr>
        <w:t xml:space="preserve">J.-V. Louis/T. Ronse, </w:t>
      </w:r>
      <w:r w:rsidRPr="0001132D">
        <w:rPr>
          <w:i/>
          <w:lang w:val="fr-BE"/>
        </w:rPr>
        <w:t>L’ordre juridique de l’Union européenne</w:t>
      </w:r>
      <w:r w:rsidRPr="0001132D">
        <w:rPr>
          <w:lang w:val="fr-BE"/>
        </w:rPr>
        <w:t xml:space="preserve"> (</w:t>
      </w:r>
      <w:proofErr w:type="spellStart"/>
      <w:r w:rsidRPr="0001132D">
        <w:rPr>
          <w:lang w:val="fr-BE"/>
        </w:rPr>
        <w:t>Helbing&amp;Lichtenhahn</w:t>
      </w:r>
      <w:proofErr w:type="spellEnd"/>
      <w:r w:rsidRPr="0001132D">
        <w:rPr>
          <w:lang w:val="fr-BE"/>
        </w:rPr>
        <w:t>/</w:t>
      </w:r>
      <w:proofErr w:type="spellStart"/>
      <w:r w:rsidRPr="0001132D">
        <w:rPr>
          <w:lang w:val="fr-BE"/>
        </w:rPr>
        <w:t>Bruylant</w:t>
      </w:r>
      <w:proofErr w:type="spellEnd"/>
      <w:r w:rsidRPr="0001132D">
        <w:rPr>
          <w:lang w:val="fr-BE"/>
        </w:rPr>
        <w:t>/L.G.D.J., Genève/Bruxelles/Paris 2005)</w:t>
      </w:r>
    </w:p>
    <w:p w:rsidR="00BE4086" w:rsidRPr="0001132D" w:rsidRDefault="00BE4086" w:rsidP="003004A7">
      <w:pPr>
        <w:ind w:left="709"/>
        <w:rPr>
          <w:lang w:val="fr-BE"/>
        </w:rPr>
      </w:pPr>
      <w:r w:rsidRPr="0001132D">
        <w:rPr>
          <w:lang w:val="fr-BE"/>
        </w:rPr>
        <w:t xml:space="preserve">J. Rideau, </w:t>
      </w:r>
      <w:r w:rsidRPr="0001132D">
        <w:rPr>
          <w:i/>
          <w:lang w:val="fr-BE"/>
        </w:rPr>
        <w:t xml:space="preserve">Droit institutionnel de l’Union </w:t>
      </w:r>
      <w:r w:rsidR="00010C33" w:rsidRPr="0001132D">
        <w:rPr>
          <w:i/>
          <w:lang w:val="fr-BE"/>
        </w:rPr>
        <w:t>européenne</w:t>
      </w:r>
      <w:r w:rsidRPr="0001132D">
        <w:rPr>
          <w:lang w:val="fr-BE"/>
        </w:rPr>
        <w:t xml:space="preserve"> (</w:t>
      </w:r>
      <w:r w:rsidR="00010C33" w:rsidRPr="0001132D">
        <w:rPr>
          <w:lang w:val="fr-BE"/>
        </w:rPr>
        <w:t>6</w:t>
      </w:r>
      <w:r w:rsidRPr="0001132D">
        <w:rPr>
          <w:vertAlign w:val="superscript"/>
          <w:lang w:val="fr-BE"/>
        </w:rPr>
        <w:t>ème</w:t>
      </w:r>
      <w:r w:rsidRPr="0001132D">
        <w:rPr>
          <w:lang w:val="fr-BE"/>
        </w:rPr>
        <w:t xml:space="preserve"> éd., L.G.D.J., Paris </w:t>
      </w:r>
      <w:r w:rsidR="00010C33" w:rsidRPr="0001132D">
        <w:rPr>
          <w:lang w:val="fr-BE"/>
        </w:rPr>
        <w:t>2010</w:t>
      </w:r>
      <w:r w:rsidRPr="0001132D">
        <w:rPr>
          <w:lang w:val="fr-BE"/>
        </w:rPr>
        <w:t>)</w:t>
      </w:r>
    </w:p>
    <w:p w:rsidR="005F23AF" w:rsidRDefault="005F23AF" w:rsidP="003004A7">
      <w:pPr>
        <w:ind w:left="709"/>
        <w:rPr>
          <w:lang w:val="en-IE"/>
        </w:rPr>
      </w:pPr>
      <w:r w:rsidRPr="00A00A75">
        <w:rPr>
          <w:lang w:val="en-IE"/>
        </w:rPr>
        <w:t xml:space="preserve">R. Schütze, </w:t>
      </w:r>
      <w:r w:rsidRPr="00A00A75">
        <w:rPr>
          <w:i/>
          <w:lang w:val="en-IE"/>
        </w:rPr>
        <w:t>European Constitutional Law</w:t>
      </w:r>
      <w:r w:rsidRPr="00A00A75">
        <w:rPr>
          <w:lang w:val="en-IE"/>
        </w:rPr>
        <w:t xml:space="preserve"> (</w:t>
      </w:r>
      <w:r w:rsidR="00CA124D">
        <w:rPr>
          <w:lang w:val="en-IE"/>
        </w:rPr>
        <w:t>2</w:t>
      </w:r>
      <w:r w:rsidR="00CA124D" w:rsidRPr="00CA124D">
        <w:rPr>
          <w:vertAlign w:val="superscript"/>
          <w:lang w:val="en-IE"/>
        </w:rPr>
        <w:t>nd</w:t>
      </w:r>
      <w:r w:rsidR="00CA124D">
        <w:rPr>
          <w:lang w:val="en-IE"/>
        </w:rPr>
        <w:t xml:space="preserve"> ed., </w:t>
      </w:r>
      <w:r w:rsidRPr="00A00A75">
        <w:rPr>
          <w:lang w:val="en-IE"/>
        </w:rPr>
        <w:t>CUP, Cambridge 201</w:t>
      </w:r>
      <w:r w:rsidR="00F708EF">
        <w:rPr>
          <w:lang w:val="en-IE"/>
        </w:rPr>
        <w:t>6</w:t>
      </w:r>
      <w:r w:rsidRPr="00A00A75">
        <w:rPr>
          <w:lang w:val="en-IE"/>
        </w:rPr>
        <w:t>)</w:t>
      </w:r>
    </w:p>
    <w:p w:rsidR="00A7760A" w:rsidRDefault="00A7760A" w:rsidP="003004A7">
      <w:pPr>
        <w:ind w:left="709"/>
        <w:rPr>
          <w:lang w:val="en-IE"/>
        </w:rPr>
      </w:pPr>
      <w:r w:rsidRPr="00A00A75">
        <w:rPr>
          <w:lang w:val="en-IE"/>
        </w:rPr>
        <w:t xml:space="preserve">R. </w:t>
      </w:r>
      <w:proofErr w:type="spellStart"/>
      <w:r w:rsidRPr="00A00A75">
        <w:rPr>
          <w:lang w:val="en-IE"/>
        </w:rPr>
        <w:t>Schütze</w:t>
      </w:r>
      <w:proofErr w:type="spellEnd"/>
      <w:r w:rsidRPr="00A00A75">
        <w:rPr>
          <w:lang w:val="en-IE"/>
        </w:rPr>
        <w:t xml:space="preserve">, </w:t>
      </w:r>
      <w:r w:rsidRPr="00530522">
        <w:rPr>
          <w:i/>
          <w:lang w:val="en-IE"/>
        </w:rPr>
        <w:t>European Union law</w:t>
      </w:r>
      <w:r>
        <w:rPr>
          <w:lang w:val="en-IE"/>
        </w:rPr>
        <w:t xml:space="preserve"> (CUP, Cambridge 2015)</w:t>
      </w:r>
    </w:p>
    <w:p w:rsidR="008C668A" w:rsidRPr="00A00A75" w:rsidRDefault="008C668A" w:rsidP="003004A7">
      <w:pPr>
        <w:ind w:left="709"/>
        <w:rPr>
          <w:lang w:val="en-IE"/>
        </w:rPr>
      </w:pPr>
      <w:r>
        <w:rPr>
          <w:lang w:val="en-IE"/>
        </w:rPr>
        <w:lastRenderedPageBreak/>
        <w:t xml:space="preserve">S. </w:t>
      </w:r>
      <w:proofErr w:type="spellStart"/>
      <w:r>
        <w:rPr>
          <w:lang w:val="en-IE"/>
        </w:rPr>
        <w:t>Weatherill</w:t>
      </w:r>
      <w:proofErr w:type="spellEnd"/>
      <w:r>
        <w:rPr>
          <w:lang w:val="en-IE"/>
        </w:rPr>
        <w:t xml:space="preserve">, </w:t>
      </w:r>
      <w:r w:rsidRPr="008C668A">
        <w:rPr>
          <w:i/>
          <w:lang w:val="en-IE"/>
        </w:rPr>
        <w:t>The internal market as a legal concept</w:t>
      </w:r>
      <w:r>
        <w:rPr>
          <w:lang w:val="en-IE"/>
        </w:rPr>
        <w:t xml:space="preserve"> (OUP, Oxford 2017)</w:t>
      </w:r>
    </w:p>
    <w:sectPr w:rsidR="008C668A" w:rsidRPr="00A00A75" w:rsidSect="00AD2411">
      <w:headerReference w:type="even" r:id="rId9"/>
      <w:headerReference w:type="default" r:id="rId10"/>
      <w:footerReference w:type="even" r:id="rId11"/>
      <w:footerReference w:type="default" r:id="rId12"/>
      <w:headerReference w:type="first" r:id="rId13"/>
      <w:footerReference w:type="first" r:id="rId14"/>
      <w:pgSz w:w="11906" w:h="16838"/>
      <w:pgMar w:top="851"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B8" w:rsidRDefault="005D6AB8" w:rsidP="00353C38">
      <w:pPr>
        <w:spacing w:after="0" w:line="240" w:lineRule="auto"/>
      </w:pPr>
      <w:r>
        <w:separator/>
      </w:r>
    </w:p>
  </w:endnote>
  <w:endnote w:type="continuationSeparator" w:id="0">
    <w:p w:rsidR="005D6AB8" w:rsidRDefault="005D6AB8" w:rsidP="0035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2F" w:rsidRDefault="00E84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46" w:rsidRPr="00F0645F" w:rsidRDefault="00353C38">
    <w:pPr>
      <w:pStyle w:val="Footer"/>
      <w:rPr>
        <w:sz w:val="18"/>
        <w:szCs w:val="18"/>
        <w:lang w:val="fr-BE"/>
      </w:rPr>
    </w:pPr>
    <w:r w:rsidRPr="00F0645F">
      <w:rPr>
        <w:sz w:val="18"/>
        <w:szCs w:val="18"/>
        <w:lang w:val="fr-BE"/>
      </w:rPr>
      <w:t xml:space="preserve">Prof. Dr. D. </w:t>
    </w:r>
    <w:proofErr w:type="spellStart"/>
    <w:r w:rsidRPr="00F0645F">
      <w:rPr>
        <w:sz w:val="18"/>
        <w:szCs w:val="18"/>
        <w:lang w:val="fr-BE"/>
      </w:rPr>
      <w:t>Hanf</w:t>
    </w:r>
    <w:proofErr w:type="spellEnd"/>
    <w:r w:rsidRPr="00353C38">
      <w:rPr>
        <w:sz w:val="18"/>
        <w:szCs w:val="18"/>
      </w:rPr>
      <w:ptab w:relativeTo="margin" w:alignment="center" w:leader="none"/>
    </w:r>
    <w:r w:rsidRPr="00F0645F">
      <w:rPr>
        <w:sz w:val="18"/>
        <w:szCs w:val="18"/>
        <w:lang w:val="fr-BE"/>
      </w:rPr>
      <w:t>Droit constitutionnel de l’Union européenne</w:t>
    </w:r>
    <w:r w:rsidRPr="00353C38">
      <w:rPr>
        <w:sz w:val="18"/>
        <w:szCs w:val="18"/>
      </w:rPr>
      <w:ptab w:relativeTo="margin" w:alignment="right" w:leader="none"/>
    </w:r>
    <w:r w:rsidR="003A2246" w:rsidRPr="00F0645F">
      <w:rPr>
        <w:sz w:val="18"/>
        <w:szCs w:val="18"/>
        <w:lang w:val="fr-BE"/>
      </w:rPr>
      <w:t>201</w:t>
    </w:r>
    <w:r w:rsidR="00E8462F">
      <w:rPr>
        <w:sz w:val="18"/>
        <w:szCs w:val="18"/>
        <w:lang w:val="fr-BE"/>
      </w:rPr>
      <w:t>7</w:t>
    </w:r>
    <w:r w:rsidR="003A2246" w:rsidRPr="00F0645F">
      <w:rPr>
        <w:sz w:val="18"/>
        <w:szCs w:val="18"/>
        <w:lang w:val="fr-BE"/>
      </w:rPr>
      <w:t>-201</w:t>
    </w:r>
    <w:r w:rsidR="00E8462F">
      <w:rPr>
        <w:sz w:val="18"/>
        <w:szCs w:val="18"/>
        <w:lang w:val="fr-BE"/>
      </w:rPr>
      <w:t>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2F" w:rsidRDefault="00E8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B8" w:rsidRDefault="005D6AB8" w:rsidP="00353C38">
      <w:pPr>
        <w:spacing w:after="0" w:line="240" w:lineRule="auto"/>
      </w:pPr>
      <w:r>
        <w:separator/>
      </w:r>
    </w:p>
  </w:footnote>
  <w:footnote w:type="continuationSeparator" w:id="0">
    <w:p w:rsidR="005D6AB8" w:rsidRDefault="005D6AB8" w:rsidP="00353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2F" w:rsidRDefault="00E84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2F" w:rsidRDefault="00E84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2F" w:rsidRDefault="00E84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lowerLetter"/>
      <w:lvlText w:val="%1)"/>
      <w:lvlJc w:val="left"/>
      <w:pPr>
        <w:tabs>
          <w:tab w:val="num" w:pos="1080"/>
        </w:tabs>
        <w:ind w:left="1080" w:hanging="360"/>
      </w:pPr>
    </w:lvl>
  </w:abstractNum>
  <w:abstractNum w:abstractNumId="1" w15:restartNumberingAfterBreak="0">
    <w:nsid w:val="0000000F"/>
    <w:multiLevelType w:val="singleLevel"/>
    <w:tmpl w:val="0000000F"/>
    <w:name w:val="WW8Num23"/>
    <w:lvl w:ilvl="0">
      <w:start w:val="1"/>
      <w:numFmt w:val="lowerLetter"/>
      <w:lvlText w:val="%1)"/>
      <w:lvlJc w:val="left"/>
      <w:pPr>
        <w:tabs>
          <w:tab w:val="num" w:pos="1080"/>
        </w:tabs>
        <w:ind w:left="1080" w:hanging="360"/>
      </w:pPr>
    </w:lvl>
  </w:abstractNum>
  <w:abstractNum w:abstractNumId="2" w15:restartNumberingAfterBreak="0">
    <w:nsid w:val="024B1B33"/>
    <w:multiLevelType w:val="hybridMultilevel"/>
    <w:tmpl w:val="EF4A7282"/>
    <w:lvl w:ilvl="0" w:tplc="0562EB34">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F531E87"/>
    <w:multiLevelType w:val="hybridMultilevel"/>
    <w:tmpl w:val="9E047AA4"/>
    <w:lvl w:ilvl="0" w:tplc="FE4C39C8">
      <w:start w:val="1"/>
      <w:numFmt w:val="decimal"/>
      <w:lvlText w:val="%1."/>
      <w:lvlJc w:val="left"/>
      <w:pPr>
        <w:ind w:left="1413"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7E7764"/>
    <w:multiLevelType w:val="hybridMultilevel"/>
    <w:tmpl w:val="FFE0BBC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FDA307C"/>
    <w:multiLevelType w:val="hybridMultilevel"/>
    <w:tmpl w:val="6A0EFB3C"/>
    <w:lvl w:ilvl="0" w:tplc="080C000B">
      <w:start w:val="1"/>
      <w:numFmt w:val="bullet"/>
      <w:lvlText w:val=""/>
      <w:lvlJc w:val="left"/>
      <w:pPr>
        <w:ind w:left="1068" w:hanging="360"/>
      </w:pPr>
      <w:rPr>
        <w:rFonts w:ascii="Wingdings" w:hAnsi="Wingdings" w:hint="default"/>
      </w:rPr>
    </w:lvl>
    <w:lvl w:ilvl="1" w:tplc="080C0019">
      <w:start w:val="1"/>
      <w:numFmt w:val="lowerLetter"/>
      <w:lvlText w:val="%2."/>
      <w:lvlJc w:val="left"/>
      <w:pPr>
        <w:ind w:left="1788" w:hanging="360"/>
      </w:pPr>
    </w:lvl>
    <w:lvl w:ilvl="2" w:tplc="6AF2344E">
      <w:start w:val="4"/>
      <w:numFmt w:val="bullet"/>
      <w:lvlText w:val="-"/>
      <w:lvlJc w:val="left"/>
      <w:pPr>
        <w:ind w:left="2688" w:hanging="360"/>
      </w:pPr>
      <w:rPr>
        <w:rFonts w:ascii="Calibri" w:eastAsiaTheme="minorHAnsi" w:hAnsi="Calibri" w:cs="Calibri" w:hint="default"/>
      </w:r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23873325"/>
    <w:multiLevelType w:val="hybridMultilevel"/>
    <w:tmpl w:val="0C5C9AD0"/>
    <w:lvl w:ilvl="0" w:tplc="FE4C39C8">
      <w:start w:val="1"/>
      <w:numFmt w:val="decimal"/>
      <w:lvlText w:val="%1."/>
      <w:lvlJc w:val="left"/>
      <w:pPr>
        <w:ind w:left="1413" w:hanging="705"/>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15:restartNumberingAfterBreak="0">
    <w:nsid w:val="339F2188"/>
    <w:multiLevelType w:val="hybridMultilevel"/>
    <w:tmpl w:val="B936DC38"/>
    <w:lvl w:ilvl="0" w:tplc="205E2340">
      <w:start w:val="1"/>
      <w:numFmt w:val="decimal"/>
      <w:lvlText w:val="%1."/>
      <w:lvlJc w:val="left"/>
      <w:pPr>
        <w:ind w:left="1068" w:hanging="360"/>
      </w:pPr>
      <w:rPr>
        <w:rFonts w:hint="default"/>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15:restartNumberingAfterBreak="0">
    <w:nsid w:val="621D43EB"/>
    <w:multiLevelType w:val="hybridMultilevel"/>
    <w:tmpl w:val="7CAAE64A"/>
    <w:lvl w:ilvl="0" w:tplc="D5526BFA">
      <w:start w:val="1"/>
      <w:numFmt w:val="decimal"/>
      <w:lvlText w:val="%1."/>
      <w:lvlJc w:val="left"/>
      <w:pPr>
        <w:ind w:left="1068"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26803DD"/>
    <w:multiLevelType w:val="hybridMultilevel"/>
    <w:tmpl w:val="EC448322"/>
    <w:lvl w:ilvl="0" w:tplc="E87217A0">
      <w:start w:val="1"/>
      <w:numFmt w:val="decimal"/>
      <w:lvlText w:val="%1."/>
      <w:lvlJc w:val="left"/>
      <w:pPr>
        <w:ind w:left="1068"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3904E99"/>
    <w:multiLevelType w:val="hybridMultilevel"/>
    <w:tmpl w:val="2AD481E2"/>
    <w:lvl w:ilvl="0" w:tplc="3DCC2138">
      <w:start w:val="1"/>
      <w:numFmt w:val="upperRoman"/>
      <w:lvlText w:val="%1."/>
      <w:lvlJc w:val="left"/>
      <w:pPr>
        <w:ind w:left="72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55D7839"/>
    <w:multiLevelType w:val="hybridMultilevel"/>
    <w:tmpl w:val="B936DC38"/>
    <w:lvl w:ilvl="0" w:tplc="205E2340">
      <w:start w:val="1"/>
      <w:numFmt w:val="decimal"/>
      <w:lvlText w:val="%1."/>
      <w:lvlJc w:val="left"/>
      <w:pPr>
        <w:ind w:left="1068" w:hanging="360"/>
      </w:pPr>
      <w:rPr>
        <w:rFonts w:hint="default"/>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2" w15:restartNumberingAfterBreak="0">
    <w:nsid w:val="6CA827F0"/>
    <w:multiLevelType w:val="hybridMultilevel"/>
    <w:tmpl w:val="5ACA4ED4"/>
    <w:lvl w:ilvl="0" w:tplc="205E2340">
      <w:start w:val="1"/>
      <w:numFmt w:val="decimal"/>
      <w:lvlText w:val="%1."/>
      <w:lvlJc w:val="left"/>
      <w:pPr>
        <w:ind w:left="1068" w:hanging="360"/>
      </w:pPr>
      <w:rPr>
        <w:rFonts w:hint="default"/>
      </w:rPr>
    </w:lvl>
    <w:lvl w:ilvl="1" w:tplc="080C0019">
      <w:start w:val="1"/>
      <w:numFmt w:val="lowerLetter"/>
      <w:lvlText w:val="%2."/>
      <w:lvlJc w:val="left"/>
      <w:pPr>
        <w:ind w:left="1788" w:hanging="360"/>
      </w:pPr>
    </w:lvl>
    <w:lvl w:ilvl="2" w:tplc="6AF2344E">
      <w:start w:val="4"/>
      <w:numFmt w:val="bullet"/>
      <w:lvlText w:val="-"/>
      <w:lvlJc w:val="left"/>
      <w:pPr>
        <w:ind w:left="2688" w:hanging="360"/>
      </w:pPr>
      <w:rPr>
        <w:rFonts w:ascii="Calibri" w:eastAsiaTheme="minorHAnsi" w:hAnsi="Calibri" w:cs="Calibri" w:hint="default"/>
      </w:r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3" w15:restartNumberingAfterBreak="0">
    <w:nsid w:val="6DFB0A7E"/>
    <w:multiLevelType w:val="hybridMultilevel"/>
    <w:tmpl w:val="7C5C49E6"/>
    <w:lvl w:ilvl="0" w:tplc="637E3208">
      <w:start w:val="1"/>
      <w:numFmt w:val="decimal"/>
      <w:lvlText w:val="%1."/>
      <w:lvlJc w:val="left"/>
      <w:pPr>
        <w:ind w:left="1068"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4D31583"/>
    <w:multiLevelType w:val="hybridMultilevel"/>
    <w:tmpl w:val="93CA34A6"/>
    <w:lvl w:ilvl="0" w:tplc="4B22CD1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7"/>
  </w:num>
  <w:num w:numId="3">
    <w:abstractNumId w:val="11"/>
  </w:num>
  <w:num w:numId="4">
    <w:abstractNumId w:val="12"/>
  </w:num>
  <w:num w:numId="5">
    <w:abstractNumId w:val="0"/>
  </w:num>
  <w:num w:numId="6">
    <w:abstractNumId w:val="1"/>
  </w:num>
  <w:num w:numId="7">
    <w:abstractNumId w:val="4"/>
  </w:num>
  <w:num w:numId="8">
    <w:abstractNumId w:val="6"/>
  </w:num>
  <w:num w:numId="9">
    <w:abstractNumId w:val="3"/>
  </w:num>
  <w:num w:numId="10">
    <w:abstractNumId w:val="5"/>
  </w:num>
  <w:num w:numId="11">
    <w:abstractNumId w:val="10"/>
  </w:num>
  <w:num w:numId="12">
    <w:abstractNumId w:val="13"/>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FB"/>
    <w:rsid w:val="00000A0D"/>
    <w:rsid w:val="00002BC9"/>
    <w:rsid w:val="00010C33"/>
    <w:rsid w:val="0001120B"/>
    <w:rsid w:val="0001132D"/>
    <w:rsid w:val="000632F8"/>
    <w:rsid w:val="000709FF"/>
    <w:rsid w:val="0008438F"/>
    <w:rsid w:val="000B5B2B"/>
    <w:rsid w:val="000D4CD6"/>
    <w:rsid w:val="000D6222"/>
    <w:rsid w:val="000E2D7F"/>
    <w:rsid w:val="001100CB"/>
    <w:rsid w:val="0011520B"/>
    <w:rsid w:val="00147769"/>
    <w:rsid w:val="00153890"/>
    <w:rsid w:val="001849D9"/>
    <w:rsid w:val="001A3892"/>
    <w:rsid w:val="001C45C6"/>
    <w:rsid w:val="001D244B"/>
    <w:rsid w:val="001F2C9E"/>
    <w:rsid w:val="0026429A"/>
    <w:rsid w:val="00297867"/>
    <w:rsid w:val="002A5502"/>
    <w:rsid w:val="002D74B8"/>
    <w:rsid w:val="003004A7"/>
    <w:rsid w:val="00315B48"/>
    <w:rsid w:val="003366D5"/>
    <w:rsid w:val="00353C38"/>
    <w:rsid w:val="00362CE4"/>
    <w:rsid w:val="00363DE7"/>
    <w:rsid w:val="00366885"/>
    <w:rsid w:val="0037630E"/>
    <w:rsid w:val="00376A80"/>
    <w:rsid w:val="003777C3"/>
    <w:rsid w:val="003807C1"/>
    <w:rsid w:val="003A1C64"/>
    <w:rsid w:val="003A2246"/>
    <w:rsid w:val="003B3447"/>
    <w:rsid w:val="003B4F64"/>
    <w:rsid w:val="003C2D25"/>
    <w:rsid w:val="003F137E"/>
    <w:rsid w:val="0041141F"/>
    <w:rsid w:val="004227A8"/>
    <w:rsid w:val="00425D0D"/>
    <w:rsid w:val="0043032C"/>
    <w:rsid w:val="00441AFD"/>
    <w:rsid w:val="00443008"/>
    <w:rsid w:val="004472B2"/>
    <w:rsid w:val="00453A34"/>
    <w:rsid w:val="00473B70"/>
    <w:rsid w:val="004C1AF6"/>
    <w:rsid w:val="004D051C"/>
    <w:rsid w:val="004D6D87"/>
    <w:rsid w:val="004E412D"/>
    <w:rsid w:val="005105BA"/>
    <w:rsid w:val="0052541B"/>
    <w:rsid w:val="00530522"/>
    <w:rsid w:val="00530717"/>
    <w:rsid w:val="005329D8"/>
    <w:rsid w:val="00572127"/>
    <w:rsid w:val="00580101"/>
    <w:rsid w:val="00581B6D"/>
    <w:rsid w:val="00585D6F"/>
    <w:rsid w:val="005955C6"/>
    <w:rsid w:val="005A24F5"/>
    <w:rsid w:val="005A6EDF"/>
    <w:rsid w:val="005B2089"/>
    <w:rsid w:val="005B4B36"/>
    <w:rsid w:val="005C38F3"/>
    <w:rsid w:val="005D5145"/>
    <w:rsid w:val="005D6AB8"/>
    <w:rsid w:val="005E7175"/>
    <w:rsid w:val="005F23AF"/>
    <w:rsid w:val="005F5FBF"/>
    <w:rsid w:val="00602833"/>
    <w:rsid w:val="0060531A"/>
    <w:rsid w:val="00610250"/>
    <w:rsid w:val="006112A8"/>
    <w:rsid w:val="0061757B"/>
    <w:rsid w:val="00617730"/>
    <w:rsid w:val="00621D23"/>
    <w:rsid w:val="00633FD2"/>
    <w:rsid w:val="006403C6"/>
    <w:rsid w:val="00661ADC"/>
    <w:rsid w:val="0066310C"/>
    <w:rsid w:val="006662A1"/>
    <w:rsid w:val="0066675D"/>
    <w:rsid w:val="007155DD"/>
    <w:rsid w:val="007320F4"/>
    <w:rsid w:val="00750519"/>
    <w:rsid w:val="00753A25"/>
    <w:rsid w:val="007609F1"/>
    <w:rsid w:val="007854C8"/>
    <w:rsid w:val="007878BA"/>
    <w:rsid w:val="007A51DA"/>
    <w:rsid w:val="007B5D8E"/>
    <w:rsid w:val="007D24EF"/>
    <w:rsid w:val="007E6B79"/>
    <w:rsid w:val="0081143A"/>
    <w:rsid w:val="00813660"/>
    <w:rsid w:val="00815030"/>
    <w:rsid w:val="00816095"/>
    <w:rsid w:val="0084624D"/>
    <w:rsid w:val="00846C51"/>
    <w:rsid w:val="00881760"/>
    <w:rsid w:val="008A188F"/>
    <w:rsid w:val="008C668A"/>
    <w:rsid w:val="008E2344"/>
    <w:rsid w:val="008E6FD9"/>
    <w:rsid w:val="008F1429"/>
    <w:rsid w:val="008F603B"/>
    <w:rsid w:val="008F7085"/>
    <w:rsid w:val="0092187B"/>
    <w:rsid w:val="009305B5"/>
    <w:rsid w:val="00943D8C"/>
    <w:rsid w:val="009473DD"/>
    <w:rsid w:val="009561FB"/>
    <w:rsid w:val="0095749E"/>
    <w:rsid w:val="00987D6F"/>
    <w:rsid w:val="00991182"/>
    <w:rsid w:val="009B1EE5"/>
    <w:rsid w:val="00A00A75"/>
    <w:rsid w:val="00A02991"/>
    <w:rsid w:val="00A1080A"/>
    <w:rsid w:val="00A13571"/>
    <w:rsid w:val="00A35B7C"/>
    <w:rsid w:val="00A37E44"/>
    <w:rsid w:val="00A413D1"/>
    <w:rsid w:val="00A43D25"/>
    <w:rsid w:val="00A50AC6"/>
    <w:rsid w:val="00A72829"/>
    <w:rsid w:val="00A75CCB"/>
    <w:rsid w:val="00A7760A"/>
    <w:rsid w:val="00A92F2E"/>
    <w:rsid w:val="00AB24C7"/>
    <w:rsid w:val="00AC2234"/>
    <w:rsid w:val="00AD2411"/>
    <w:rsid w:val="00AE5FCC"/>
    <w:rsid w:val="00B03C94"/>
    <w:rsid w:val="00B064EA"/>
    <w:rsid w:val="00B12AD1"/>
    <w:rsid w:val="00B354CA"/>
    <w:rsid w:val="00B41D90"/>
    <w:rsid w:val="00B52F91"/>
    <w:rsid w:val="00B55ADF"/>
    <w:rsid w:val="00B60C4B"/>
    <w:rsid w:val="00B82F3E"/>
    <w:rsid w:val="00B9371D"/>
    <w:rsid w:val="00BA186F"/>
    <w:rsid w:val="00BA3A56"/>
    <w:rsid w:val="00BC0D5E"/>
    <w:rsid w:val="00BC69F3"/>
    <w:rsid w:val="00BD0427"/>
    <w:rsid w:val="00BD3D81"/>
    <w:rsid w:val="00BE4086"/>
    <w:rsid w:val="00BE790B"/>
    <w:rsid w:val="00BF420B"/>
    <w:rsid w:val="00C27D8D"/>
    <w:rsid w:val="00C400DF"/>
    <w:rsid w:val="00C5374E"/>
    <w:rsid w:val="00C60A97"/>
    <w:rsid w:val="00C72D72"/>
    <w:rsid w:val="00C80723"/>
    <w:rsid w:val="00CA124D"/>
    <w:rsid w:val="00CA4280"/>
    <w:rsid w:val="00CB7B86"/>
    <w:rsid w:val="00CE457B"/>
    <w:rsid w:val="00CE5D53"/>
    <w:rsid w:val="00CF1570"/>
    <w:rsid w:val="00CF1894"/>
    <w:rsid w:val="00D026E0"/>
    <w:rsid w:val="00D03ED0"/>
    <w:rsid w:val="00D30A25"/>
    <w:rsid w:val="00D55CFB"/>
    <w:rsid w:val="00D568B5"/>
    <w:rsid w:val="00D84D9E"/>
    <w:rsid w:val="00D90C51"/>
    <w:rsid w:val="00D949BC"/>
    <w:rsid w:val="00DA1C32"/>
    <w:rsid w:val="00DA6DF8"/>
    <w:rsid w:val="00DB061C"/>
    <w:rsid w:val="00DB4449"/>
    <w:rsid w:val="00DD4E71"/>
    <w:rsid w:val="00DD660F"/>
    <w:rsid w:val="00DE28D9"/>
    <w:rsid w:val="00DE5989"/>
    <w:rsid w:val="00E017C7"/>
    <w:rsid w:val="00E03066"/>
    <w:rsid w:val="00E10708"/>
    <w:rsid w:val="00E16B85"/>
    <w:rsid w:val="00E26881"/>
    <w:rsid w:val="00E62822"/>
    <w:rsid w:val="00E8462F"/>
    <w:rsid w:val="00E876F0"/>
    <w:rsid w:val="00E95B8D"/>
    <w:rsid w:val="00EC355E"/>
    <w:rsid w:val="00EF38F5"/>
    <w:rsid w:val="00F0645F"/>
    <w:rsid w:val="00F708EF"/>
    <w:rsid w:val="00F82319"/>
    <w:rsid w:val="00F85FF7"/>
    <w:rsid w:val="00FC1C55"/>
    <w:rsid w:val="00FC2338"/>
    <w:rsid w:val="00FD1744"/>
    <w:rsid w:val="00FE0F82"/>
    <w:rsid w:val="00FF4061"/>
    <w:rsid w:val="00FF7D6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D035"/>
  <w15:docId w15:val="{AE057AA5-8442-4918-868D-8416C54B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61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1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49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24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BE40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1FB"/>
    <w:rPr>
      <w:rFonts w:ascii="Tahoma" w:hAnsi="Tahoma" w:cs="Tahoma"/>
      <w:sz w:val="16"/>
      <w:szCs w:val="16"/>
    </w:rPr>
  </w:style>
  <w:style w:type="table" w:styleId="TableGrid">
    <w:name w:val="Table Grid"/>
    <w:basedOn w:val="TableNormal"/>
    <w:uiPriority w:val="59"/>
    <w:rsid w:val="009561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561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1F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49BC"/>
    <w:pPr>
      <w:ind w:left="720"/>
      <w:contextualSpacing/>
    </w:pPr>
  </w:style>
  <w:style w:type="paragraph" w:styleId="Title">
    <w:name w:val="Title"/>
    <w:basedOn w:val="Normal"/>
    <w:next w:val="Normal"/>
    <w:link w:val="TitleChar"/>
    <w:uiPriority w:val="10"/>
    <w:qFormat/>
    <w:rsid w:val="00D949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49BC"/>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949B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53C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3C38"/>
  </w:style>
  <w:style w:type="paragraph" w:styleId="Footer">
    <w:name w:val="footer"/>
    <w:basedOn w:val="Normal"/>
    <w:link w:val="FooterChar"/>
    <w:uiPriority w:val="99"/>
    <w:unhideWhenUsed/>
    <w:rsid w:val="00353C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3C38"/>
  </w:style>
  <w:style w:type="character" w:customStyle="1" w:styleId="Heading9Char">
    <w:name w:val="Heading 9 Char"/>
    <w:basedOn w:val="DefaultParagraphFont"/>
    <w:link w:val="Heading9"/>
    <w:uiPriority w:val="9"/>
    <w:semiHidden/>
    <w:rsid w:val="00BE4086"/>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BE4086"/>
    <w:rPr>
      <w:color w:val="000080"/>
      <w:u w:val="single"/>
    </w:rPr>
  </w:style>
  <w:style w:type="paragraph" w:styleId="FootnoteText">
    <w:name w:val="footnote text"/>
    <w:basedOn w:val="Normal"/>
    <w:link w:val="FootnoteTextChar"/>
    <w:semiHidden/>
    <w:rsid w:val="00BE4086"/>
    <w:pPr>
      <w:suppressAutoHyphens/>
      <w:spacing w:after="60" w:line="240" w:lineRule="auto"/>
      <w:jc w:val="both"/>
    </w:pPr>
    <w:rPr>
      <w:rFonts w:ascii="Garamond" w:eastAsia="Times New Roman" w:hAnsi="Garamond" w:cs="Times New Roman"/>
      <w:sz w:val="20"/>
      <w:szCs w:val="20"/>
      <w:lang w:eastAsia="ar-SA"/>
    </w:rPr>
  </w:style>
  <w:style w:type="character" w:customStyle="1" w:styleId="FootnoteTextChar">
    <w:name w:val="Footnote Text Char"/>
    <w:basedOn w:val="DefaultParagraphFont"/>
    <w:link w:val="FootnoteText"/>
    <w:semiHidden/>
    <w:rsid w:val="00BE4086"/>
    <w:rPr>
      <w:rFonts w:ascii="Garamond" w:eastAsia="Times New Roman" w:hAnsi="Garamond" w:cs="Times New Roman"/>
      <w:sz w:val="20"/>
      <w:szCs w:val="20"/>
      <w:lang w:val="en-GB" w:eastAsia="ar-SA"/>
    </w:rPr>
  </w:style>
  <w:style w:type="paragraph" w:styleId="BodyTextIndent2">
    <w:name w:val="Body Text Indent 2"/>
    <w:basedOn w:val="Normal"/>
    <w:link w:val="BodyTextIndent2Char"/>
    <w:rsid w:val="00BE4086"/>
    <w:pPr>
      <w:suppressAutoHyphens/>
      <w:spacing w:after="360" w:line="260" w:lineRule="exact"/>
      <w:ind w:left="720"/>
      <w:jc w:val="both"/>
    </w:pPr>
    <w:rPr>
      <w:rFonts w:ascii="Arial" w:eastAsia="Times New Roman" w:hAnsi="Arial" w:cs="Times New Roman"/>
      <w:sz w:val="20"/>
      <w:szCs w:val="20"/>
      <w:lang w:val="fr-FR" w:eastAsia="ar-SA"/>
    </w:rPr>
  </w:style>
  <w:style w:type="character" w:customStyle="1" w:styleId="BodyTextIndent2Char">
    <w:name w:val="Body Text Indent 2 Char"/>
    <w:basedOn w:val="DefaultParagraphFont"/>
    <w:link w:val="BodyTextIndent2"/>
    <w:rsid w:val="00BE4086"/>
    <w:rPr>
      <w:rFonts w:ascii="Arial" w:eastAsia="Times New Roman" w:hAnsi="Arial" w:cs="Times New Roman"/>
      <w:sz w:val="20"/>
      <w:szCs w:val="20"/>
      <w:lang w:val="fr-FR" w:eastAsia="ar-SA"/>
    </w:rPr>
  </w:style>
  <w:style w:type="paragraph" w:styleId="BodyTextIndent3">
    <w:name w:val="Body Text Indent 3"/>
    <w:basedOn w:val="Normal"/>
    <w:link w:val="BodyTextIndent3Char"/>
    <w:rsid w:val="00BE4086"/>
    <w:pPr>
      <w:suppressAutoHyphens/>
      <w:spacing w:after="120" w:line="260" w:lineRule="exact"/>
      <w:ind w:left="1077"/>
      <w:jc w:val="both"/>
    </w:pPr>
    <w:rPr>
      <w:rFonts w:ascii="Arial" w:eastAsia="Times New Roman" w:hAnsi="Arial" w:cs="Times New Roman"/>
      <w:sz w:val="20"/>
      <w:szCs w:val="20"/>
      <w:lang w:val="fr-FR" w:eastAsia="ar-SA"/>
    </w:rPr>
  </w:style>
  <w:style w:type="character" w:customStyle="1" w:styleId="BodyTextIndent3Char">
    <w:name w:val="Body Text Indent 3 Char"/>
    <w:basedOn w:val="DefaultParagraphFont"/>
    <w:link w:val="BodyTextIndent3"/>
    <w:rsid w:val="00BE4086"/>
    <w:rPr>
      <w:rFonts w:ascii="Arial" w:eastAsia="Times New Roman" w:hAnsi="Arial" w:cs="Times New Roman"/>
      <w:sz w:val="20"/>
      <w:szCs w:val="20"/>
      <w:lang w:val="fr-FR" w:eastAsia="ar-SA"/>
    </w:rPr>
  </w:style>
  <w:style w:type="paragraph" w:styleId="TOCHeading">
    <w:name w:val="TOC Heading"/>
    <w:basedOn w:val="Heading1"/>
    <w:next w:val="Normal"/>
    <w:uiPriority w:val="39"/>
    <w:semiHidden/>
    <w:unhideWhenUsed/>
    <w:qFormat/>
    <w:rsid w:val="00C60A97"/>
    <w:pPr>
      <w:outlineLvl w:val="9"/>
    </w:pPr>
    <w:rPr>
      <w:lang w:val="fr-FR"/>
    </w:rPr>
  </w:style>
  <w:style w:type="paragraph" w:styleId="TOC2">
    <w:name w:val="toc 2"/>
    <w:basedOn w:val="Normal"/>
    <w:next w:val="Normal"/>
    <w:autoRedefine/>
    <w:uiPriority w:val="39"/>
    <w:unhideWhenUsed/>
    <w:rsid w:val="00C60A97"/>
    <w:pPr>
      <w:spacing w:after="100"/>
      <w:ind w:left="220"/>
    </w:pPr>
  </w:style>
  <w:style w:type="paragraph" w:styleId="TOC3">
    <w:name w:val="toc 3"/>
    <w:basedOn w:val="Normal"/>
    <w:next w:val="Normal"/>
    <w:autoRedefine/>
    <w:uiPriority w:val="39"/>
    <w:unhideWhenUsed/>
    <w:rsid w:val="00C60A97"/>
    <w:pPr>
      <w:spacing w:after="100"/>
      <w:ind w:left="440"/>
    </w:pPr>
  </w:style>
  <w:style w:type="character" w:customStyle="1" w:styleId="Heading4Char">
    <w:name w:val="Heading 4 Char"/>
    <w:basedOn w:val="DefaultParagraphFont"/>
    <w:link w:val="Heading4"/>
    <w:uiPriority w:val="9"/>
    <w:rsid w:val="00AD2411"/>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C400D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0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6544">
      <w:bodyDiv w:val="1"/>
      <w:marLeft w:val="0"/>
      <w:marRight w:val="0"/>
      <w:marTop w:val="0"/>
      <w:marBottom w:val="0"/>
      <w:divBdr>
        <w:top w:val="none" w:sz="0" w:space="0" w:color="auto"/>
        <w:left w:val="none" w:sz="0" w:space="0" w:color="auto"/>
        <w:bottom w:val="none" w:sz="0" w:space="0" w:color="auto"/>
        <w:right w:val="none" w:sz="0" w:space="0" w:color="auto"/>
      </w:divBdr>
    </w:div>
    <w:div w:id="1618103031">
      <w:bodyDiv w:val="1"/>
      <w:marLeft w:val="0"/>
      <w:marRight w:val="0"/>
      <w:marTop w:val="0"/>
      <w:marBottom w:val="0"/>
      <w:divBdr>
        <w:top w:val="none" w:sz="0" w:space="0" w:color="auto"/>
        <w:left w:val="none" w:sz="0" w:space="0" w:color="auto"/>
        <w:bottom w:val="none" w:sz="0" w:space="0" w:color="auto"/>
        <w:right w:val="none" w:sz="0" w:space="0" w:color="auto"/>
      </w:divBdr>
      <w:divsChild>
        <w:div w:id="661012359">
          <w:marLeft w:val="0"/>
          <w:marRight w:val="0"/>
          <w:marTop w:val="0"/>
          <w:marBottom w:val="0"/>
          <w:divBdr>
            <w:top w:val="none" w:sz="0" w:space="0" w:color="auto"/>
            <w:left w:val="none" w:sz="0" w:space="0" w:color="auto"/>
            <w:bottom w:val="none" w:sz="0" w:space="0" w:color="auto"/>
            <w:right w:val="none" w:sz="0" w:space="0" w:color="auto"/>
          </w:divBdr>
          <w:divsChild>
            <w:div w:id="1420323754">
              <w:marLeft w:val="0"/>
              <w:marRight w:val="0"/>
              <w:marTop w:val="0"/>
              <w:marBottom w:val="0"/>
              <w:divBdr>
                <w:top w:val="none" w:sz="0" w:space="0" w:color="auto"/>
                <w:left w:val="none" w:sz="0" w:space="0" w:color="auto"/>
                <w:bottom w:val="none" w:sz="0" w:space="0" w:color="auto"/>
                <w:right w:val="none" w:sz="0" w:space="0" w:color="auto"/>
              </w:divBdr>
            </w:div>
            <w:div w:id="949124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A8F1-127D-4E63-89BA-10A7E7B2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1643</Words>
  <Characters>9370</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College of Europe</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RISTUCCIA Fulvia</cp:lastModifiedBy>
  <cp:revision>10</cp:revision>
  <cp:lastPrinted>2010-09-06T13:17:00Z</cp:lastPrinted>
  <dcterms:created xsi:type="dcterms:W3CDTF">2017-08-16T17:07:00Z</dcterms:created>
  <dcterms:modified xsi:type="dcterms:W3CDTF">2017-09-13T15:16:00Z</dcterms:modified>
</cp:coreProperties>
</file>